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C28" w:rsidRDefault="00E74C28" w:rsidP="00005A47">
      <w:pPr>
        <w:rPr>
          <w:sz w:val="20"/>
          <w:szCs w:val="20"/>
          <w:lang w:val="cy-GB"/>
        </w:rPr>
      </w:pPr>
    </w:p>
    <w:p w:rsidR="00005A47" w:rsidRDefault="00FC5C94" w:rsidP="00FC5C94">
      <w:pPr>
        <w:jc w:val="center"/>
        <w:rPr>
          <w:b/>
          <w:sz w:val="20"/>
          <w:szCs w:val="20"/>
          <w:lang w:val="cy-GB"/>
        </w:rPr>
      </w:pPr>
      <w:r w:rsidRPr="00FC5C94">
        <w:rPr>
          <w:b/>
          <w:sz w:val="20"/>
          <w:szCs w:val="20"/>
          <w:lang w:val="cy-GB"/>
        </w:rPr>
        <w:t xml:space="preserve">Evidence and work proramme for </w:t>
      </w:r>
      <w:r w:rsidR="00005A47" w:rsidRPr="00FC5C94">
        <w:rPr>
          <w:b/>
          <w:sz w:val="20"/>
          <w:szCs w:val="20"/>
          <w:lang w:val="cy-GB"/>
        </w:rPr>
        <w:t xml:space="preserve">ESTYN </w:t>
      </w:r>
      <w:r w:rsidR="00E77EAB" w:rsidRPr="00FC5C94">
        <w:rPr>
          <w:b/>
          <w:sz w:val="20"/>
          <w:szCs w:val="20"/>
          <w:lang w:val="cy-GB"/>
        </w:rPr>
        <w:t>Inspection June</w:t>
      </w:r>
      <w:r w:rsidR="00005A47" w:rsidRPr="00FC5C94">
        <w:rPr>
          <w:b/>
          <w:sz w:val="20"/>
          <w:szCs w:val="20"/>
          <w:lang w:val="cy-GB"/>
        </w:rPr>
        <w:t xml:space="preserve"> 2014</w:t>
      </w:r>
    </w:p>
    <w:p w:rsidR="00FC5C94" w:rsidRPr="00FC5C94" w:rsidRDefault="00FC5C94" w:rsidP="00FC5C94">
      <w:pPr>
        <w:jc w:val="center"/>
        <w:rPr>
          <w:b/>
          <w:sz w:val="20"/>
          <w:szCs w:val="20"/>
          <w:lang w:val="cy-GB"/>
        </w:rPr>
      </w:pPr>
    </w:p>
    <w:tbl>
      <w:tblPr>
        <w:tblW w:w="79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7938"/>
      </w:tblGrid>
      <w:tr w:rsidR="00FC5C94" w:rsidTr="00FC5C94">
        <w:trPr>
          <w:jc w:val="center"/>
        </w:trPr>
        <w:tc>
          <w:tcPr>
            <w:tcW w:w="7938" w:type="dxa"/>
            <w:shd w:val="clear" w:color="auto" w:fill="E6E6E6"/>
          </w:tcPr>
          <w:p w:rsidR="00FC5C94" w:rsidRDefault="00FC5C94" w:rsidP="00FC5C94">
            <w:pPr>
              <w:widowControl w:val="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A1. </w:t>
            </w:r>
            <w:r>
              <w:rPr>
                <w:rFonts w:eastAsia="SimSun"/>
                <w:sz w:val="20"/>
                <w:szCs w:val="20"/>
                <w:lang w:val="cy-GB" w:eastAsia="zh-CN"/>
              </w:rPr>
              <w:t>Raise standards  in every key stage  and ensure  that every learner  who can do so  achieves active literacy  by the end of key stage 2.</w:t>
            </w:r>
          </w:p>
        </w:tc>
      </w:tr>
      <w:tr w:rsidR="00FC5C94" w:rsidTr="00FC5C94">
        <w:trPr>
          <w:jc w:val="center"/>
        </w:trPr>
        <w:tc>
          <w:tcPr>
            <w:tcW w:w="7938" w:type="dxa"/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Data on  current KS2, KS3 and KS4 performance along with examples   of any intervention.</w:t>
            </w:r>
          </w:p>
          <w:p w:rsidR="00FC5C94" w:rsidRDefault="00FC5C94" w:rsidP="00FC5C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FC5C94" w:rsidTr="00FC5C94">
        <w:trPr>
          <w:trHeight w:val="470"/>
          <w:jc w:val="center"/>
        </w:trPr>
        <w:tc>
          <w:tcPr>
            <w:tcW w:w="7938" w:type="dxa"/>
            <w:shd w:val="clear" w:color="auto" w:fill="auto"/>
          </w:tcPr>
          <w:p w:rsidR="00FC5C94" w:rsidRPr="00B15704" w:rsidRDefault="00FC5C94" w:rsidP="00FC5C94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 w:rsidRPr="00B15704">
              <w:rPr>
                <w:sz w:val="20"/>
                <w:szCs w:val="20"/>
                <w:lang w:val="cy-GB" w:eastAsia="en-US"/>
              </w:rPr>
              <w:t xml:space="preserve">Data on  KS2 and KS3 reading performance. </w:t>
            </w:r>
            <w:r w:rsidRPr="00B15704">
              <w:rPr>
                <w:sz w:val="20"/>
                <w:szCs w:val="20"/>
                <w:lang w:val="cy-GB"/>
              </w:rPr>
              <w:t>Arrangements   to ensure  that every school has  an effective plan  for improving reading and writing standards and closing the gap in attainment for groups of pupils.</w:t>
            </w:r>
          </w:p>
        </w:tc>
      </w:tr>
      <w:tr w:rsidR="00FC5C94" w:rsidTr="00FC5C94">
        <w:trPr>
          <w:jc w:val="center"/>
        </w:trPr>
        <w:tc>
          <w:tcPr>
            <w:tcW w:w="7938" w:type="dxa"/>
            <w:shd w:val="clear" w:color="auto" w:fill="auto"/>
          </w:tcPr>
          <w:p w:rsidR="00FC5C94" w:rsidRPr="00B15704" w:rsidRDefault="00FC5C94" w:rsidP="00FC5C94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 w:rsidRPr="00B15704">
              <w:rPr>
                <w:sz w:val="20"/>
                <w:szCs w:val="20"/>
                <w:lang w:val="cy-GB" w:eastAsia="en-US"/>
              </w:rPr>
              <w:t>Estyn’s school inspection data.</w:t>
            </w:r>
          </w:p>
          <w:p w:rsidR="00FC5C94" w:rsidRPr="00B15704" w:rsidRDefault="00FC5C94" w:rsidP="00FC5C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shd w:val="clear" w:color="auto" w:fill="auto"/>
          </w:tcPr>
          <w:p w:rsidR="00FC5C94" w:rsidRPr="00B15704" w:rsidRDefault="00FC5C94" w:rsidP="00FC5C94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 w:rsidRPr="00B15704">
              <w:rPr>
                <w:sz w:val="20"/>
                <w:szCs w:val="20"/>
                <w:lang w:val="cy-GB"/>
              </w:rPr>
              <w:t>Quality of  leadership and management in schools</w:t>
            </w:r>
          </w:p>
          <w:p w:rsidR="00FC5C94" w:rsidRPr="00B15704" w:rsidRDefault="00FC5C94" w:rsidP="00FC5C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shd w:val="clear" w:color="auto" w:fill="auto"/>
          </w:tcPr>
          <w:p w:rsidR="00FC5C94" w:rsidRPr="00B15704" w:rsidRDefault="00FC5C94" w:rsidP="00FC5C94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 w:rsidRPr="00B15704">
              <w:rPr>
                <w:sz w:val="20"/>
                <w:szCs w:val="20"/>
                <w:lang w:val="cy-GB" w:eastAsia="en-US"/>
              </w:rPr>
              <w:t>Moderate  KS1 and 2 assessments.</w:t>
            </w:r>
          </w:p>
          <w:p w:rsidR="00FC5C94" w:rsidRPr="00B15704" w:rsidRDefault="00FC5C94" w:rsidP="00FC5C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shd w:val="clear" w:color="auto" w:fill="auto"/>
          </w:tcPr>
          <w:p w:rsidR="00FC5C94" w:rsidRPr="00B15704" w:rsidRDefault="00FC5C94" w:rsidP="00FC5C94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 w:rsidRPr="00B15704">
              <w:rPr>
                <w:sz w:val="20"/>
                <w:szCs w:val="20"/>
                <w:lang w:val="cy-GB" w:eastAsia="en-US"/>
              </w:rPr>
              <w:t>Implementation of the Partnership Agreement. Governors’ role  in individual schools.  Example of action  from the   School Progress Review Group</w:t>
            </w:r>
          </w:p>
        </w:tc>
      </w:tr>
      <w:tr w:rsidR="00FC5C94" w:rsidTr="00FC5C94">
        <w:trPr>
          <w:jc w:val="center"/>
        </w:trPr>
        <w:tc>
          <w:tcPr>
            <w:tcW w:w="7938" w:type="dxa"/>
            <w:shd w:val="clear" w:color="auto" w:fill="auto"/>
          </w:tcPr>
          <w:p w:rsidR="00FC5C94" w:rsidRPr="00B15704" w:rsidRDefault="00FC5C94" w:rsidP="00FC5C94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 w:rsidRPr="00B15704">
              <w:rPr>
                <w:sz w:val="20"/>
                <w:szCs w:val="20"/>
                <w:lang w:val="cy-GB" w:eastAsia="en-US"/>
              </w:rPr>
              <w:t>The role of the Governing Bodies   in relation to  challenging head teachers   and ensuring accountability.</w:t>
            </w:r>
          </w:p>
          <w:p w:rsidR="00FC5C94" w:rsidRPr="00B15704" w:rsidRDefault="00FC5C94" w:rsidP="00FC5C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shd w:val="clear" w:color="auto" w:fill="auto"/>
          </w:tcPr>
          <w:p w:rsidR="00FC5C94" w:rsidRPr="00B15704" w:rsidRDefault="00FC5C94" w:rsidP="00FC5C94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 w:rsidRPr="00B15704">
              <w:rPr>
                <w:sz w:val="20"/>
                <w:szCs w:val="20"/>
                <w:lang w:val="cy-GB" w:eastAsia="en-US"/>
              </w:rPr>
              <w:t>%  gaining credits   or qualifications    through the Youth Service.</w:t>
            </w:r>
          </w:p>
          <w:p w:rsidR="00FC5C94" w:rsidRPr="00B15704" w:rsidRDefault="00FC5C94" w:rsidP="00FC5C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shd w:val="clear" w:color="auto" w:fill="auto"/>
          </w:tcPr>
          <w:p w:rsidR="00FC5C94" w:rsidRPr="00B15704" w:rsidRDefault="00FC5C94" w:rsidP="00FC5C94">
            <w:pPr>
              <w:widowControl w:val="0"/>
              <w:numPr>
                <w:ilvl w:val="0"/>
                <w:numId w:val="1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 w:rsidRPr="00B15704">
              <w:rPr>
                <w:sz w:val="20"/>
                <w:szCs w:val="20"/>
                <w:lang w:val="cy-GB" w:eastAsia="en-US"/>
              </w:rPr>
              <w:t>Manage any potential risks  due to Consortium working in the areas of Performance Management and raising standards.</w:t>
            </w:r>
          </w:p>
        </w:tc>
      </w:tr>
    </w:tbl>
    <w:p w:rsidR="00C07E91" w:rsidRDefault="00C07E91" w:rsidP="00FC5C94">
      <w:pPr>
        <w:rPr>
          <w:sz w:val="20"/>
          <w:szCs w:val="20"/>
          <w:lang w:val="cy-GB"/>
        </w:rPr>
      </w:pPr>
    </w:p>
    <w:tbl>
      <w:tblPr>
        <w:tblW w:w="793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7938"/>
      </w:tblGrid>
      <w:tr w:rsidR="00FC5C94" w:rsidTr="00FC5C94">
        <w:trPr>
          <w:jc w:val="center"/>
        </w:trPr>
        <w:tc>
          <w:tcPr>
            <w:tcW w:w="7938" w:type="dxa"/>
            <w:shd w:val="clear" w:color="auto" w:fill="E6E6E6"/>
          </w:tcPr>
          <w:p w:rsidR="00FC5C94" w:rsidRDefault="00FC5C94" w:rsidP="00FC5C94">
            <w:pPr>
              <w:widowControl w:val="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A2.  Planning more effectively with the relevant professional workers  to improve  school attendance rates</w:t>
            </w:r>
          </w:p>
        </w:tc>
      </w:tr>
      <w:tr w:rsidR="00FC5C94" w:rsidTr="00FC5C94">
        <w:trPr>
          <w:jc w:val="center"/>
        </w:trPr>
        <w:tc>
          <w:tcPr>
            <w:tcW w:w="7938" w:type="dxa"/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2"/>
              </w:numPr>
              <w:tabs>
                <w:tab w:val="num" w:pos="176"/>
              </w:tabs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Attendance levels   in the secondary and primary.</w:t>
            </w:r>
          </w:p>
          <w:p w:rsidR="00FC5C94" w:rsidRDefault="00FC5C94" w:rsidP="00FC5C94">
            <w:pPr>
              <w:widowControl w:val="0"/>
              <w:ind w:left="360"/>
              <w:rPr>
                <w:sz w:val="20"/>
                <w:szCs w:val="20"/>
                <w:lang w:val="cy-GB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2"/>
              </w:numPr>
              <w:tabs>
                <w:tab w:val="num" w:pos="17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Attendance data  for specific groups.</w:t>
            </w:r>
          </w:p>
          <w:p w:rsidR="00FC5C94" w:rsidRDefault="00FC5C94" w:rsidP="00FC5C94">
            <w:pPr>
              <w:widowControl w:val="0"/>
              <w:autoSpaceDE w:val="0"/>
              <w:autoSpaceDN w:val="0"/>
              <w:adjustRightInd w:val="0"/>
              <w:ind w:left="360"/>
              <w:rPr>
                <w:sz w:val="20"/>
                <w:szCs w:val="20"/>
                <w:lang w:val="cy-GB" w:eastAsia="en-US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2"/>
              </w:numPr>
              <w:tabs>
                <w:tab w:val="num" w:pos="176"/>
              </w:tabs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Exclusions’ data</w:t>
            </w:r>
          </w:p>
          <w:p w:rsidR="00FC5C94" w:rsidRDefault="00FC5C94" w:rsidP="00FC5C94">
            <w:pPr>
              <w:widowControl w:val="0"/>
              <w:ind w:left="360"/>
              <w:rPr>
                <w:sz w:val="20"/>
                <w:szCs w:val="20"/>
                <w:lang w:val="cy-GB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shd w:val="clear" w:color="auto" w:fill="auto"/>
          </w:tcPr>
          <w:p w:rsidR="00FC5C94" w:rsidRDefault="00FC5C94" w:rsidP="00FC5C94">
            <w:pPr>
              <w:numPr>
                <w:ilvl w:val="0"/>
                <w:numId w:val="3"/>
              </w:numPr>
              <w:tabs>
                <w:tab w:val="num" w:pos="176"/>
              </w:tabs>
              <w:ind w:left="176" w:hanging="176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Give attention  to individual cases  of absence  by EWOs working together with So</w:t>
            </w:r>
            <w:r w:rsidRPr="00136734">
              <w:rPr>
                <w:sz w:val="20"/>
                <w:szCs w:val="20"/>
                <w:lang w:val="cy-GB"/>
              </w:rPr>
              <w:t>ci</w:t>
            </w:r>
            <w:r>
              <w:rPr>
                <w:sz w:val="20"/>
                <w:szCs w:val="20"/>
                <w:lang w:val="cy-GB"/>
              </w:rPr>
              <w:t>al Services    and the Team around the Family and others.</w:t>
            </w:r>
          </w:p>
        </w:tc>
      </w:tr>
      <w:tr w:rsidR="00FC5C94" w:rsidTr="00FC5C94">
        <w:trPr>
          <w:jc w:val="center"/>
        </w:trPr>
        <w:tc>
          <w:tcPr>
            <w:tcW w:w="7938" w:type="dxa"/>
            <w:shd w:val="clear" w:color="auto" w:fill="auto"/>
          </w:tcPr>
          <w:p w:rsidR="00FC5C94" w:rsidRPr="00136734" w:rsidRDefault="00FC5C94" w:rsidP="00FC5C94">
            <w:pPr>
              <w:numPr>
                <w:ilvl w:val="0"/>
                <w:numId w:val="3"/>
              </w:numPr>
              <w:tabs>
                <w:tab w:val="num" w:pos="176"/>
              </w:tabs>
              <w:ind w:left="176" w:hanging="176"/>
              <w:rPr>
                <w:sz w:val="20"/>
                <w:szCs w:val="20"/>
                <w:lang w:val="cy-GB"/>
              </w:rPr>
            </w:pPr>
            <w:r w:rsidRPr="00136734">
              <w:rPr>
                <w:sz w:val="20"/>
                <w:szCs w:val="20"/>
                <w:lang w:val="cy-GB"/>
              </w:rPr>
              <w:t>The effect of intervention  and collaboration with Regional Attendance Intervention Team in specific schools  etc, and ensure future sustainability of gains in performance across both sectors.</w:t>
            </w:r>
          </w:p>
          <w:p w:rsidR="00FC5C94" w:rsidRPr="00072E36" w:rsidRDefault="00FC5C94" w:rsidP="00FC5C94">
            <w:pPr>
              <w:ind w:left="176"/>
              <w:rPr>
                <w:sz w:val="20"/>
                <w:szCs w:val="20"/>
                <w:lang w:val="cy-GB"/>
              </w:rPr>
            </w:pPr>
          </w:p>
        </w:tc>
      </w:tr>
    </w:tbl>
    <w:p w:rsidR="00005A47" w:rsidRDefault="00005A47" w:rsidP="00FC5C94">
      <w:pPr>
        <w:widowControl w:val="0"/>
        <w:ind w:left="360" w:hanging="360"/>
        <w:rPr>
          <w:sz w:val="20"/>
          <w:szCs w:val="20"/>
          <w:lang w:val="cy-GB"/>
        </w:rPr>
      </w:pPr>
    </w:p>
    <w:tbl>
      <w:tblPr>
        <w:tblW w:w="7938" w:type="dxa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7938"/>
      </w:tblGrid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C5C94" w:rsidRDefault="00FC5C94" w:rsidP="00FC5C94">
            <w:pPr>
              <w:widowControl w:val="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A4. Plan better efficiency   in allocating resources  for the  Lifelong Learning Service.</w:t>
            </w: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4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Control of the  integration budget. Strategic plan  for decentralizing  SEN finance.</w:t>
            </w:r>
          </w:p>
          <w:p w:rsidR="00FC5C94" w:rsidRDefault="00FC5C94" w:rsidP="00FC5C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4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 xml:space="preserve">Recovery plans  for specific schools  in deficit. </w:t>
            </w:r>
            <w:r>
              <w:rPr>
                <w:sz w:val="20"/>
                <w:szCs w:val="20"/>
                <w:lang w:val="cy-GB"/>
              </w:rPr>
              <w:t>Review and measure  the quality   of school financial management.</w:t>
            </w: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4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 xml:space="preserve">Information on quality  in the  </w:t>
            </w:r>
            <w:r w:rsidRPr="00136734">
              <w:rPr>
                <w:sz w:val="20"/>
                <w:szCs w:val="20"/>
                <w:lang w:val="cy-GB" w:eastAsia="en-US"/>
              </w:rPr>
              <w:t>non-maintained</w:t>
            </w:r>
            <w:r>
              <w:rPr>
                <w:sz w:val="20"/>
                <w:szCs w:val="20"/>
                <w:lang w:val="cy-GB" w:eastAsia="en-US"/>
              </w:rPr>
              <w:t xml:space="preserve"> settings.</w:t>
            </w:r>
          </w:p>
          <w:p w:rsidR="00FC5C94" w:rsidRDefault="00FC5C94" w:rsidP="00FC5C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4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/>
              </w:rPr>
              <w:t>Increase the pace of the school modernisation programme</w:t>
            </w:r>
          </w:p>
          <w:p w:rsidR="00FC5C94" w:rsidRDefault="00FC5C94" w:rsidP="00FC5C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4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/>
              </w:rPr>
              <w:t>Increased collaboration working of post-16 Partnership.</w:t>
            </w:r>
          </w:p>
          <w:p w:rsidR="00FC5C94" w:rsidRDefault="00FC5C94" w:rsidP="00FC5C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</w:tbl>
    <w:p w:rsidR="00C07E91" w:rsidRDefault="00C07E91" w:rsidP="00FC5C94">
      <w:pPr>
        <w:widowControl w:val="0"/>
        <w:rPr>
          <w:sz w:val="20"/>
          <w:szCs w:val="20"/>
          <w:lang w:val="cy-GB"/>
        </w:rPr>
      </w:pPr>
      <w:bookmarkStart w:id="0" w:name="_GoBack"/>
      <w:bookmarkEnd w:id="0"/>
    </w:p>
    <w:p w:rsidR="00C07E91" w:rsidRDefault="00C07E91" w:rsidP="00FC5C94">
      <w:pPr>
        <w:widowControl w:val="0"/>
        <w:ind w:left="454" w:hanging="454"/>
        <w:rPr>
          <w:sz w:val="20"/>
          <w:szCs w:val="20"/>
          <w:lang w:val="cy-GB"/>
        </w:rPr>
      </w:pPr>
    </w:p>
    <w:tbl>
      <w:tblPr>
        <w:tblW w:w="7938" w:type="dxa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7938"/>
      </w:tblGrid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C5C94" w:rsidRPr="006A0508" w:rsidRDefault="00FC5C94" w:rsidP="00FC5C94">
            <w:pPr>
              <w:widowControl w:val="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A3. Set up  strong processes  for business planning,  project planning and risk assessment   to professionalize   the delivery  of educational services   actively</w:t>
            </w: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Pr="006A0508" w:rsidRDefault="00FC5C94" w:rsidP="00FC5C94">
            <w:pPr>
              <w:widowControl w:val="0"/>
              <w:numPr>
                <w:ilvl w:val="0"/>
                <w:numId w:val="5"/>
              </w:numPr>
              <w:tabs>
                <w:tab w:val="num" w:pos="176"/>
              </w:tabs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Business plans impacting positively on  the accountability of officers and other staff, linking closely with risk assessment and management, and measuring impact/ effectiveness of service</w:t>
            </w:r>
            <w:r w:rsidRPr="006A0508">
              <w:rPr>
                <w:sz w:val="20"/>
                <w:szCs w:val="20"/>
                <w:lang w:val="cy-GB" w:eastAsia="en-US"/>
              </w:rPr>
              <w:t>.</w:t>
            </w: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Pr="006A0508" w:rsidRDefault="00FC5C94" w:rsidP="00FC5C94">
            <w:pPr>
              <w:widowControl w:val="0"/>
              <w:numPr>
                <w:ilvl w:val="0"/>
                <w:numId w:val="5"/>
              </w:numPr>
              <w:tabs>
                <w:tab w:val="num" w:pos="176"/>
              </w:tabs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lastRenderedPageBreak/>
              <w:t xml:space="preserve">Officers’ roles   in developing </w:t>
            </w:r>
            <w:r w:rsidRPr="006A0508">
              <w:rPr>
                <w:sz w:val="20"/>
                <w:szCs w:val="20"/>
                <w:lang w:val="cy-GB" w:eastAsia="en-US"/>
              </w:rPr>
              <w:t xml:space="preserve"> staff</w:t>
            </w:r>
          </w:p>
          <w:p w:rsidR="00FC5C94" w:rsidRPr="006A0508" w:rsidRDefault="00FC5C94" w:rsidP="00FC5C94">
            <w:pPr>
              <w:widowControl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Pr="006A0508" w:rsidRDefault="00FC5C94" w:rsidP="00FC5C94">
            <w:pPr>
              <w:widowControl w:val="0"/>
              <w:numPr>
                <w:ilvl w:val="0"/>
                <w:numId w:val="5"/>
              </w:numPr>
              <w:tabs>
                <w:tab w:val="num" w:pos="176"/>
              </w:tabs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Continue to monitor project expenditure – demonstrate effective spend of grants and the effect on  pupils/families where possible.</w:t>
            </w:r>
          </w:p>
        </w:tc>
      </w:tr>
    </w:tbl>
    <w:p w:rsidR="00005A47" w:rsidRDefault="00005A47" w:rsidP="00FC5C94">
      <w:pPr>
        <w:widowControl w:val="0"/>
        <w:ind w:left="360" w:hanging="360"/>
        <w:rPr>
          <w:sz w:val="20"/>
          <w:szCs w:val="20"/>
          <w:lang w:val="cy-GB"/>
        </w:rPr>
      </w:pPr>
    </w:p>
    <w:tbl>
      <w:tblPr>
        <w:tblW w:w="7938" w:type="dxa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7938"/>
      </w:tblGrid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C5C94" w:rsidRDefault="00FC5C94" w:rsidP="00FC5C94">
            <w:pPr>
              <w:widowControl w:val="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A5. Ensure more thoroughness and consistency  in the requirements  for self-evaluation  actively and strategically.</w:t>
            </w: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6"/>
              </w:numPr>
              <w:tabs>
                <w:tab w:val="num" w:pos="176"/>
              </w:tabs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Children’s Partnership hold partners accountable. More consistency   in the way that partners   evaluate the effect of their work    on learners.</w:t>
            </w: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6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The quality of   14-19 Network learning outcomes. .</w:t>
            </w:r>
          </w:p>
          <w:p w:rsidR="00FC5C94" w:rsidRDefault="00FC5C94" w:rsidP="00FC5C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6"/>
              </w:numPr>
              <w:tabs>
                <w:tab w:val="num" w:pos="176"/>
              </w:tabs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/>
              </w:rPr>
              <w:t>Fulfil   Estyn’s recommendations and findings.</w:t>
            </w:r>
          </w:p>
          <w:p w:rsidR="00FC5C94" w:rsidRDefault="00FC5C94" w:rsidP="00FC5C94">
            <w:pPr>
              <w:widowControl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6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Monitoring the progress   of individual pupils   with  ALN    on a school level    has improved,  but the authority does not always   make the best use    of this information to evaluate the needs    of groups of pupils.</w:t>
            </w: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Pr="00136734" w:rsidRDefault="00FC5C94" w:rsidP="00FC5C94">
            <w:pPr>
              <w:widowControl w:val="0"/>
              <w:numPr>
                <w:ilvl w:val="0"/>
                <w:numId w:val="6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 w:rsidRPr="00136734">
              <w:rPr>
                <w:sz w:val="20"/>
                <w:szCs w:val="20"/>
                <w:lang w:val="cy-GB" w:eastAsia="en-US"/>
              </w:rPr>
              <w:t>12 month self-evaluation cycle established linked to service performance management, business planning and staff evaluation.</w:t>
            </w:r>
          </w:p>
          <w:p w:rsidR="00FC5C94" w:rsidRPr="006A0508" w:rsidRDefault="00FC5C94" w:rsidP="00FC5C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</w:tbl>
    <w:p w:rsidR="00B71BA8" w:rsidRDefault="00B71BA8" w:rsidP="00FC5C94">
      <w:pPr>
        <w:widowControl w:val="0"/>
        <w:rPr>
          <w:sz w:val="20"/>
          <w:szCs w:val="20"/>
          <w:lang w:val="cy-GB"/>
        </w:rPr>
      </w:pPr>
    </w:p>
    <w:p w:rsidR="00B71BA8" w:rsidRDefault="00B71BA8" w:rsidP="00FC5C94">
      <w:pPr>
        <w:widowControl w:val="0"/>
        <w:ind w:left="360" w:hanging="360"/>
        <w:rPr>
          <w:sz w:val="20"/>
          <w:szCs w:val="20"/>
          <w:lang w:val="cy-GB"/>
        </w:rPr>
      </w:pPr>
    </w:p>
    <w:tbl>
      <w:tblPr>
        <w:tblW w:w="7938" w:type="dxa"/>
        <w:jc w:val="center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7938"/>
      </w:tblGrid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FC5C94" w:rsidRDefault="00FC5C94" w:rsidP="00FC5C94">
            <w:pPr>
              <w:widowControl w:val="0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A7. Formalize and strengthen  performance management systems and challenge school  and officer performance</w:t>
            </w: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7"/>
              </w:numPr>
              <w:tabs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Challenge school Head Teachers –  the Progress Review Group’s role.</w:t>
            </w:r>
          </w:p>
          <w:p w:rsidR="00FC5C94" w:rsidRDefault="00FC5C94" w:rsidP="00FC5C94">
            <w:pPr>
              <w:widowControl w:val="0"/>
              <w:autoSpaceDE w:val="0"/>
              <w:autoSpaceDN w:val="0"/>
              <w:adjustRightInd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7"/>
              </w:numPr>
              <w:tabs>
                <w:tab w:val="num" w:pos="176"/>
              </w:tabs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Information for members  about schools that are underperforming</w:t>
            </w:r>
          </w:p>
          <w:p w:rsidR="00FC5C94" w:rsidRDefault="00FC5C94" w:rsidP="00FC5C94">
            <w:pPr>
              <w:widowControl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7"/>
              </w:numPr>
              <w:tabs>
                <w:tab w:val="num" w:pos="176"/>
              </w:tabs>
              <w:ind w:left="176" w:hanging="176"/>
              <w:rPr>
                <w:sz w:val="20"/>
                <w:szCs w:val="20"/>
                <w:lang w:val="cy-GB" w:eastAsia="en-US"/>
              </w:rPr>
            </w:pPr>
            <w:r>
              <w:rPr>
                <w:sz w:val="20"/>
                <w:szCs w:val="20"/>
                <w:lang w:val="cy-GB" w:eastAsia="en-US"/>
              </w:rPr>
              <w:t>Officers and staff’s  individual work programmes.</w:t>
            </w:r>
          </w:p>
          <w:p w:rsidR="00FC5C94" w:rsidRDefault="00FC5C94" w:rsidP="00FC5C94">
            <w:pPr>
              <w:widowControl w:val="0"/>
              <w:ind w:left="176"/>
              <w:rPr>
                <w:sz w:val="20"/>
                <w:szCs w:val="20"/>
                <w:lang w:val="cy-GB" w:eastAsia="en-US"/>
              </w:rPr>
            </w:pPr>
          </w:p>
        </w:tc>
      </w:tr>
      <w:tr w:rsidR="00FC5C94" w:rsidTr="00FC5C94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C94" w:rsidRDefault="00FC5C94" w:rsidP="00FC5C94">
            <w:pPr>
              <w:widowControl w:val="0"/>
              <w:numPr>
                <w:ilvl w:val="0"/>
                <w:numId w:val="7"/>
              </w:numPr>
              <w:tabs>
                <w:tab w:val="num" w:pos="176"/>
              </w:tabs>
              <w:ind w:left="176" w:hanging="176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 w:eastAsia="en-US"/>
              </w:rPr>
              <w:t>The role of the Service Excellence Board   in scrutinizing the matters noted in this document.</w:t>
            </w:r>
          </w:p>
          <w:p w:rsidR="00FC5C94" w:rsidRDefault="00FC5C94" w:rsidP="00FC5C94">
            <w:pPr>
              <w:widowControl w:val="0"/>
              <w:ind w:left="176"/>
              <w:rPr>
                <w:sz w:val="20"/>
                <w:szCs w:val="20"/>
                <w:lang w:val="cy-GB"/>
              </w:rPr>
            </w:pPr>
          </w:p>
        </w:tc>
      </w:tr>
    </w:tbl>
    <w:p w:rsidR="00005A47" w:rsidRDefault="00005A47" w:rsidP="00FC5C94">
      <w:pPr>
        <w:rPr>
          <w:sz w:val="16"/>
          <w:szCs w:val="16"/>
          <w:lang w:val="cy-GB"/>
        </w:rPr>
      </w:pPr>
    </w:p>
    <w:p w:rsidR="00005A47" w:rsidRDefault="00005A47" w:rsidP="00FC5C94">
      <w:pPr>
        <w:rPr>
          <w:sz w:val="16"/>
          <w:szCs w:val="16"/>
          <w:lang w:val="cy-GB"/>
        </w:rPr>
      </w:pPr>
    </w:p>
    <w:p w:rsidR="00FC1663" w:rsidRDefault="00FC1663" w:rsidP="00FC5C94"/>
    <w:p w:rsidR="00E74C28" w:rsidRDefault="00E74C28" w:rsidP="00FC5C94"/>
    <w:p w:rsidR="00E74C28" w:rsidRDefault="00E74C28" w:rsidP="00FC5C94"/>
    <w:p w:rsidR="00E74C28" w:rsidRDefault="00E74C28" w:rsidP="00FC5C94"/>
    <w:p w:rsidR="00E74C28" w:rsidRDefault="00E74C28" w:rsidP="00FC5C94"/>
    <w:p w:rsidR="00E74C28" w:rsidRDefault="00E74C28" w:rsidP="00FC5C94"/>
    <w:p w:rsidR="00E74C28" w:rsidRDefault="00E74C28" w:rsidP="00FC5C94"/>
    <w:p w:rsidR="00E74C28" w:rsidRDefault="00E74C28" w:rsidP="00FC5C94"/>
    <w:sectPr w:rsidR="00E74C28" w:rsidSect="00FC5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10F"/>
    <w:multiLevelType w:val="hybridMultilevel"/>
    <w:tmpl w:val="621428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E7C79"/>
    <w:multiLevelType w:val="hybridMultilevel"/>
    <w:tmpl w:val="22AEB7E0"/>
    <w:lvl w:ilvl="0" w:tplc="202C8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720300D"/>
    <w:multiLevelType w:val="hybridMultilevel"/>
    <w:tmpl w:val="A3F8D794"/>
    <w:lvl w:ilvl="0" w:tplc="A4DC3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1A31EE"/>
    <w:multiLevelType w:val="hybridMultilevel"/>
    <w:tmpl w:val="81528458"/>
    <w:lvl w:ilvl="0" w:tplc="3DE60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6846A6"/>
    <w:multiLevelType w:val="hybridMultilevel"/>
    <w:tmpl w:val="29C24644"/>
    <w:lvl w:ilvl="0" w:tplc="FCC80FEE">
      <w:start w:val="4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515E4"/>
    <w:multiLevelType w:val="hybridMultilevel"/>
    <w:tmpl w:val="DC86B956"/>
    <w:lvl w:ilvl="0" w:tplc="C5666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4B389C"/>
    <w:multiLevelType w:val="hybridMultilevel"/>
    <w:tmpl w:val="55CE503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47"/>
    <w:rsid w:val="00001FF0"/>
    <w:rsid w:val="00005A47"/>
    <w:rsid w:val="00040E16"/>
    <w:rsid w:val="00045270"/>
    <w:rsid w:val="00072E36"/>
    <w:rsid w:val="00075C53"/>
    <w:rsid w:val="00085A42"/>
    <w:rsid w:val="00094B9B"/>
    <w:rsid w:val="000A121B"/>
    <w:rsid w:val="000E1B33"/>
    <w:rsid w:val="000F1381"/>
    <w:rsid w:val="000F77E5"/>
    <w:rsid w:val="00105E25"/>
    <w:rsid w:val="0011292D"/>
    <w:rsid w:val="00136734"/>
    <w:rsid w:val="001622AA"/>
    <w:rsid w:val="001644CD"/>
    <w:rsid w:val="0017249E"/>
    <w:rsid w:val="00190DD6"/>
    <w:rsid w:val="001A0AD6"/>
    <w:rsid w:val="001E52A1"/>
    <w:rsid w:val="001F5717"/>
    <w:rsid w:val="00222855"/>
    <w:rsid w:val="00276B6A"/>
    <w:rsid w:val="002B55D9"/>
    <w:rsid w:val="002C29D4"/>
    <w:rsid w:val="002E22E4"/>
    <w:rsid w:val="0030369C"/>
    <w:rsid w:val="0032299C"/>
    <w:rsid w:val="00330961"/>
    <w:rsid w:val="003429CF"/>
    <w:rsid w:val="00357482"/>
    <w:rsid w:val="00371836"/>
    <w:rsid w:val="003A0F9E"/>
    <w:rsid w:val="003C164A"/>
    <w:rsid w:val="003C6739"/>
    <w:rsid w:val="003D2759"/>
    <w:rsid w:val="004010B8"/>
    <w:rsid w:val="00420566"/>
    <w:rsid w:val="00423279"/>
    <w:rsid w:val="00423C55"/>
    <w:rsid w:val="004408D3"/>
    <w:rsid w:val="0044255B"/>
    <w:rsid w:val="00456217"/>
    <w:rsid w:val="0045752F"/>
    <w:rsid w:val="00460B19"/>
    <w:rsid w:val="00484948"/>
    <w:rsid w:val="004910BE"/>
    <w:rsid w:val="004962C8"/>
    <w:rsid w:val="004B5857"/>
    <w:rsid w:val="004D1F94"/>
    <w:rsid w:val="004D5A4D"/>
    <w:rsid w:val="004E3305"/>
    <w:rsid w:val="004F11F6"/>
    <w:rsid w:val="004F2E1D"/>
    <w:rsid w:val="0051443B"/>
    <w:rsid w:val="00526173"/>
    <w:rsid w:val="00543CD3"/>
    <w:rsid w:val="005B7FB1"/>
    <w:rsid w:val="005E11E4"/>
    <w:rsid w:val="00625894"/>
    <w:rsid w:val="00645695"/>
    <w:rsid w:val="00683A1C"/>
    <w:rsid w:val="00684874"/>
    <w:rsid w:val="00685E8E"/>
    <w:rsid w:val="00693A5D"/>
    <w:rsid w:val="006A0508"/>
    <w:rsid w:val="006A0C68"/>
    <w:rsid w:val="006E0B49"/>
    <w:rsid w:val="006E3542"/>
    <w:rsid w:val="006E3FFD"/>
    <w:rsid w:val="006E703E"/>
    <w:rsid w:val="006F18E5"/>
    <w:rsid w:val="006F2588"/>
    <w:rsid w:val="006F2A2A"/>
    <w:rsid w:val="00737C22"/>
    <w:rsid w:val="00746DE1"/>
    <w:rsid w:val="00750E2F"/>
    <w:rsid w:val="00777053"/>
    <w:rsid w:val="00780DFC"/>
    <w:rsid w:val="007F2A52"/>
    <w:rsid w:val="007F759A"/>
    <w:rsid w:val="007F78FD"/>
    <w:rsid w:val="00805F72"/>
    <w:rsid w:val="00813A95"/>
    <w:rsid w:val="00841AD4"/>
    <w:rsid w:val="008517B5"/>
    <w:rsid w:val="0086249D"/>
    <w:rsid w:val="008756D7"/>
    <w:rsid w:val="008B7966"/>
    <w:rsid w:val="008C0EAC"/>
    <w:rsid w:val="008E36A7"/>
    <w:rsid w:val="008F3C4A"/>
    <w:rsid w:val="00910996"/>
    <w:rsid w:val="009137C7"/>
    <w:rsid w:val="00916807"/>
    <w:rsid w:val="00937AE3"/>
    <w:rsid w:val="00941130"/>
    <w:rsid w:val="00946EB1"/>
    <w:rsid w:val="00963C6A"/>
    <w:rsid w:val="009650C4"/>
    <w:rsid w:val="009B23B9"/>
    <w:rsid w:val="009B4959"/>
    <w:rsid w:val="009B5C8F"/>
    <w:rsid w:val="009C2895"/>
    <w:rsid w:val="009C3F86"/>
    <w:rsid w:val="009C4AAA"/>
    <w:rsid w:val="009F3610"/>
    <w:rsid w:val="009F675D"/>
    <w:rsid w:val="00A02118"/>
    <w:rsid w:val="00A1453C"/>
    <w:rsid w:val="00A30397"/>
    <w:rsid w:val="00A35DD0"/>
    <w:rsid w:val="00A57491"/>
    <w:rsid w:val="00A625F5"/>
    <w:rsid w:val="00A66FFB"/>
    <w:rsid w:val="00A76DCB"/>
    <w:rsid w:val="00A775D8"/>
    <w:rsid w:val="00A836F6"/>
    <w:rsid w:val="00A8689A"/>
    <w:rsid w:val="00A90812"/>
    <w:rsid w:val="00A95FC6"/>
    <w:rsid w:val="00AD1136"/>
    <w:rsid w:val="00AD1565"/>
    <w:rsid w:val="00AE38C9"/>
    <w:rsid w:val="00B04028"/>
    <w:rsid w:val="00B15704"/>
    <w:rsid w:val="00B26DC2"/>
    <w:rsid w:val="00B479B4"/>
    <w:rsid w:val="00B5039B"/>
    <w:rsid w:val="00B51D9F"/>
    <w:rsid w:val="00B576FC"/>
    <w:rsid w:val="00B64F66"/>
    <w:rsid w:val="00B71BA8"/>
    <w:rsid w:val="00B8730A"/>
    <w:rsid w:val="00B9001B"/>
    <w:rsid w:val="00BB4E22"/>
    <w:rsid w:val="00BC62E4"/>
    <w:rsid w:val="00BF430C"/>
    <w:rsid w:val="00C07B8E"/>
    <w:rsid w:val="00C07E91"/>
    <w:rsid w:val="00C11C4D"/>
    <w:rsid w:val="00C27EA4"/>
    <w:rsid w:val="00C5235D"/>
    <w:rsid w:val="00C74B0D"/>
    <w:rsid w:val="00C822A8"/>
    <w:rsid w:val="00C97A42"/>
    <w:rsid w:val="00CB308A"/>
    <w:rsid w:val="00CC5797"/>
    <w:rsid w:val="00D12337"/>
    <w:rsid w:val="00D17085"/>
    <w:rsid w:val="00D27D42"/>
    <w:rsid w:val="00D365C7"/>
    <w:rsid w:val="00D37F3C"/>
    <w:rsid w:val="00D446E3"/>
    <w:rsid w:val="00D53713"/>
    <w:rsid w:val="00D540E4"/>
    <w:rsid w:val="00D65AF5"/>
    <w:rsid w:val="00D75DDD"/>
    <w:rsid w:val="00D80EAC"/>
    <w:rsid w:val="00D82E66"/>
    <w:rsid w:val="00DA1ECD"/>
    <w:rsid w:val="00DA3019"/>
    <w:rsid w:val="00DA5D2C"/>
    <w:rsid w:val="00DB3D61"/>
    <w:rsid w:val="00DB42FA"/>
    <w:rsid w:val="00DD0D7B"/>
    <w:rsid w:val="00DF539F"/>
    <w:rsid w:val="00E10E06"/>
    <w:rsid w:val="00E21701"/>
    <w:rsid w:val="00E44FDC"/>
    <w:rsid w:val="00E47B25"/>
    <w:rsid w:val="00E5219F"/>
    <w:rsid w:val="00E65A15"/>
    <w:rsid w:val="00E712FD"/>
    <w:rsid w:val="00E74C28"/>
    <w:rsid w:val="00E77EAB"/>
    <w:rsid w:val="00E84E49"/>
    <w:rsid w:val="00EA1C7B"/>
    <w:rsid w:val="00EA42A6"/>
    <w:rsid w:val="00EB4F89"/>
    <w:rsid w:val="00EB5F2C"/>
    <w:rsid w:val="00ED220A"/>
    <w:rsid w:val="00EE5A59"/>
    <w:rsid w:val="00F15800"/>
    <w:rsid w:val="00F35F57"/>
    <w:rsid w:val="00F51F17"/>
    <w:rsid w:val="00F61ED8"/>
    <w:rsid w:val="00F672F6"/>
    <w:rsid w:val="00F90A02"/>
    <w:rsid w:val="00F93D57"/>
    <w:rsid w:val="00FC1663"/>
    <w:rsid w:val="00FC5C94"/>
    <w:rsid w:val="00FC624E"/>
    <w:rsid w:val="00FD4708"/>
    <w:rsid w:val="00FE70CA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A8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B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A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5576-F53E-4527-8B41-9B7316414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Rhun Williams</dc:creator>
  <cp:lastModifiedBy>Delyth Molyneux</cp:lastModifiedBy>
  <cp:revision>2</cp:revision>
  <cp:lastPrinted>2014-03-13T09:02:00Z</cp:lastPrinted>
  <dcterms:created xsi:type="dcterms:W3CDTF">2014-03-26T11:39:00Z</dcterms:created>
  <dcterms:modified xsi:type="dcterms:W3CDTF">2014-03-26T11:39:00Z</dcterms:modified>
</cp:coreProperties>
</file>