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B7" w:rsidRDefault="004074B7">
      <w:r>
        <w:rPr>
          <w:noProof/>
          <w:lang w:eastAsia="en-GB"/>
        </w:rPr>
        <w:drawing>
          <wp:inline distT="0" distB="0" distL="0" distR="0" wp14:anchorId="1157B0C7">
            <wp:extent cx="402844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4B7" w:rsidRDefault="004074B7" w:rsidP="004074B7"/>
    <w:p w:rsidR="004F31ED" w:rsidRDefault="004074B7" w:rsidP="005567E8">
      <w:pPr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074B7">
        <w:rPr>
          <w:rFonts w:ascii="Arial" w:hAnsi="Arial" w:cs="Arial"/>
          <w:b/>
          <w:sz w:val="24"/>
          <w:szCs w:val="24"/>
          <w:u w:val="single"/>
        </w:rPr>
        <w:t>Update on the Consultation about Free School Breakfast, June 2015</w:t>
      </w:r>
    </w:p>
    <w:p w:rsidR="004074B7" w:rsidRDefault="004074B7" w:rsidP="005567E8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4074B7">
        <w:rPr>
          <w:rFonts w:ascii="Arial" w:hAnsi="Arial" w:cs="Arial"/>
          <w:b/>
          <w:sz w:val="24"/>
          <w:szCs w:val="24"/>
        </w:rPr>
        <w:t>Background</w:t>
      </w:r>
    </w:p>
    <w:p w:rsidR="00EA1198" w:rsidRPr="00EA1198" w:rsidRDefault="00E058CF" w:rsidP="00EA1198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</w:t>
      </w:r>
      <w:r w:rsidRPr="004074B7">
        <w:rPr>
          <w:rFonts w:ascii="Arial" w:hAnsi="Arial" w:cs="Arial"/>
          <w:sz w:val="24"/>
          <w:szCs w:val="24"/>
        </w:rPr>
        <w:t xml:space="preserve">he difficult decisions </w:t>
      </w:r>
      <w:r>
        <w:rPr>
          <w:rFonts w:ascii="Arial" w:hAnsi="Arial" w:cs="Arial"/>
          <w:sz w:val="24"/>
          <w:szCs w:val="24"/>
        </w:rPr>
        <w:t>that will be necessary to meet efficiency saving targets of 10% for the education service, t</w:t>
      </w:r>
      <w:r w:rsidR="004074B7" w:rsidRPr="004074B7">
        <w:rPr>
          <w:rFonts w:ascii="Arial" w:hAnsi="Arial" w:cs="Arial"/>
          <w:sz w:val="24"/>
          <w:szCs w:val="24"/>
        </w:rPr>
        <w:t>he need has arisen to review this budget</w:t>
      </w:r>
      <w:r w:rsidR="004074B7">
        <w:rPr>
          <w:rFonts w:ascii="Arial" w:hAnsi="Arial" w:cs="Arial"/>
          <w:sz w:val="24"/>
          <w:szCs w:val="24"/>
        </w:rPr>
        <w:t>.</w:t>
      </w:r>
      <w:r w:rsidR="00AC23F0">
        <w:rPr>
          <w:rFonts w:ascii="Arial" w:hAnsi="Arial" w:cs="Arial"/>
          <w:sz w:val="24"/>
          <w:szCs w:val="24"/>
        </w:rPr>
        <w:t xml:space="preserve"> </w:t>
      </w:r>
      <w:r w:rsidR="004074B7">
        <w:rPr>
          <w:rFonts w:ascii="Arial" w:hAnsi="Arial" w:cs="Arial"/>
          <w:sz w:val="24"/>
          <w:szCs w:val="24"/>
        </w:rPr>
        <w:t xml:space="preserve">A fine balance must be achieved between ensuring the delivery of efficiency savings, whilst reducing the effects of cutbacks on </w:t>
      </w:r>
      <w:r>
        <w:rPr>
          <w:rFonts w:ascii="Arial" w:hAnsi="Arial" w:cs="Arial"/>
          <w:sz w:val="24"/>
          <w:szCs w:val="24"/>
        </w:rPr>
        <w:t xml:space="preserve">frontline </w:t>
      </w:r>
      <w:r w:rsidR="004074B7">
        <w:rPr>
          <w:rFonts w:ascii="Arial" w:hAnsi="Arial" w:cs="Arial"/>
          <w:sz w:val="24"/>
          <w:szCs w:val="24"/>
        </w:rPr>
        <w:t>delegated school budgets. One area for consideration is the Free School Breakfast clubs, with a</w:t>
      </w:r>
      <w:r>
        <w:rPr>
          <w:rFonts w:ascii="Arial" w:hAnsi="Arial" w:cs="Arial"/>
          <w:sz w:val="24"/>
          <w:szCs w:val="24"/>
        </w:rPr>
        <w:t xml:space="preserve"> current </w:t>
      </w:r>
      <w:r w:rsidR="004074B7">
        <w:rPr>
          <w:rFonts w:ascii="Arial" w:hAnsi="Arial" w:cs="Arial"/>
          <w:sz w:val="24"/>
          <w:szCs w:val="24"/>
        </w:rPr>
        <w:t>budget of £385,000.</w:t>
      </w:r>
      <w:r w:rsidR="004074B7" w:rsidRPr="004074B7">
        <w:rPr>
          <w:rFonts w:ascii="Arial" w:hAnsi="Arial" w:cs="Arial"/>
          <w:sz w:val="24"/>
          <w:szCs w:val="24"/>
        </w:rPr>
        <w:t xml:space="preserve"> </w:t>
      </w:r>
    </w:p>
    <w:p w:rsidR="00EA1198" w:rsidRPr="00EA1198" w:rsidRDefault="004074B7" w:rsidP="00EA1198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free breakfast scheme was introduced into primary schools in 2004, </w:t>
      </w:r>
      <w:r w:rsidR="00E058CF">
        <w:rPr>
          <w:rFonts w:ascii="Arial" w:hAnsi="Arial" w:cs="Arial"/>
          <w:sz w:val="24"/>
          <w:szCs w:val="24"/>
        </w:rPr>
        <w:t>via</w:t>
      </w:r>
      <w:r>
        <w:rPr>
          <w:rFonts w:ascii="Arial" w:hAnsi="Arial" w:cs="Arial"/>
          <w:sz w:val="24"/>
          <w:szCs w:val="24"/>
        </w:rPr>
        <w:t xml:space="preserve"> a grant from Welsh Government. In Ap</w:t>
      </w:r>
      <w:r w:rsidR="00E058C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il 2013 this grant was transferred to the RSG, and it was not ring-fenced for the scheme.</w:t>
      </w:r>
    </w:p>
    <w:p w:rsidR="004074B7" w:rsidRDefault="004074B7" w:rsidP="005567E8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 statutory obligation to provide free school breakfasts</w:t>
      </w:r>
      <w:r w:rsidR="009E18DE">
        <w:rPr>
          <w:rFonts w:ascii="Arial" w:hAnsi="Arial" w:cs="Arial"/>
          <w:sz w:val="24"/>
          <w:szCs w:val="24"/>
        </w:rPr>
        <w:t xml:space="preserve"> </w:t>
      </w:r>
      <w:r w:rsidR="00E058CF">
        <w:rPr>
          <w:rFonts w:ascii="Arial" w:hAnsi="Arial" w:cs="Arial"/>
          <w:sz w:val="24"/>
          <w:szCs w:val="24"/>
        </w:rPr>
        <w:t xml:space="preserve">for pupils </w:t>
      </w:r>
      <w:r w:rsidR="009E18DE">
        <w:rPr>
          <w:rFonts w:ascii="Arial" w:hAnsi="Arial" w:cs="Arial"/>
          <w:sz w:val="24"/>
          <w:szCs w:val="24"/>
        </w:rPr>
        <w:t>if the Authority receives a request from school governors, or if a scheme was</w:t>
      </w:r>
      <w:r w:rsidR="00E058CF">
        <w:rPr>
          <w:rFonts w:ascii="Arial" w:hAnsi="Arial" w:cs="Arial"/>
          <w:sz w:val="24"/>
          <w:szCs w:val="24"/>
        </w:rPr>
        <w:t xml:space="preserve"> already</w:t>
      </w:r>
      <w:r w:rsidR="009E18DE">
        <w:rPr>
          <w:rFonts w:ascii="Arial" w:hAnsi="Arial" w:cs="Arial"/>
          <w:sz w:val="24"/>
          <w:szCs w:val="24"/>
        </w:rPr>
        <w:t xml:space="preserve"> established before April 2013.</w:t>
      </w:r>
    </w:p>
    <w:p w:rsidR="009E18DE" w:rsidRDefault="009E18DE" w:rsidP="005567E8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guidance states that Governors have the right to bring the scheme to an end and establish a different scheme.</w:t>
      </w:r>
    </w:p>
    <w:p w:rsidR="009E18DE" w:rsidRDefault="009E18DE" w:rsidP="005567E8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September 2014 the scheme existed in 46 primary schools. This constitutes 98% of the Authority’s schools.</w:t>
      </w:r>
    </w:p>
    <w:p w:rsidR="009E18DE" w:rsidRDefault="009E18DE" w:rsidP="005567E8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Merthyr is the only Authority with more schools </w:t>
      </w:r>
      <w:r w:rsidR="00E058CF">
        <w:rPr>
          <w:rFonts w:ascii="Arial" w:hAnsi="Arial" w:cs="Arial"/>
          <w:sz w:val="24"/>
          <w:szCs w:val="24"/>
        </w:rPr>
        <w:t xml:space="preserve">participating </w:t>
      </w:r>
      <w:r>
        <w:rPr>
          <w:rFonts w:ascii="Arial" w:hAnsi="Arial" w:cs="Arial"/>
          <w:sz w:val="24"/>
          <w:szCs w:val="24"/>
        </w:rPr>
        <w:t xml:space="preserve">(100%). Gwynedd has 73% of their schools </w:t>
      </w:r>
      <w:r w:rsidR="00E058CF">
        <w:rPr>
          <w:rFonts w:ascii="Arial" w:hAnsi="Arial" w:cs="Arial"/>
          <w:sz w:val="24"/>
          <w:szCs w:val="24"/>
        </w:rPr>
        <w:t xml:space="preserve">participating </w:t>
      </w:r>
      <w:r>
        <w:rPr>
          <w:rFonts w:ascii="Arial" w:hAnsi="Arial" w:cs="Arial"/>
          <w:sz w:val="24"/>
          <w:szCs w:val="24"/>
        </w:rPr>
        <w:t xml:space="preserve">in the scheme and Conwy has 93%. Newport is the </w:t>
      </w:r>
      <w:r w:rsidR="00E058CF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with th</w:t>
      </w:r>
      <w:r w:rsidR="00E058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least </w:t>
      </w:r>
      <w:proofErr w:type="gramStart"/>
      <w:r>
        <w:rPr>
          <w:rFonts w:ascii="Arial" w:hAnsi="Arial" w:cs="Arial"/>
          <w:sz w:val="24"/>
          <w:szCs w:val="24"/>
        </w:rPr>
        <w:t>take</w:t>
      </w:r>
      <w:proofErr w:type="gramEnd"/>
      <w:r>
        <w:rPr>
          <w:rFonts w:ascii="Arial" w:hAnsi="Arial" w:cs="Arial"/>
          <w:sz w:val="24"/>
          <w:szCs w:val="24"/>
        </w:rPr>
        <w:t xml:space="preserve"> up with only 29%.</w:t>
      </w:r>
    </w:p>
    <w:p w:rsidR="009E18DE" w:rsidRDefault="009E18DE" w:rsidP="005567E8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058CF">
        <w:rPr>
          <w:rFonts w:ascii="Arial" w:hAnsi="Arial" w:cs="Arial"/>
          <w:sz w:val="24"/>
          <w:szCs w:val="24"/>
        </w:rPr>
        <w:t xml:space="preserve">daily average </w:t>
      </w:r>
      <w:r>
        <w:rPr>
          <w:rFonts w:ascii="Arial" w:hAnsi="Arial" w:cs="Arial"/>
          <w:sz w:val="24"/>
          <w:szCs w:val="24"/>
        </w:rPr>
        <w:t>number of pupils who received free school breakfast in 13/14 was 1,321 (24%); at an approximate cost of £1.46 (40p food and the remainder being staffing costs).</w:t>
      </w:r>
    </w:p>
    <w:p w:rsidR="009E18DE" w:rsidRDefault="009E18DE" w:rsidP="005567E8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23% of pupils frequenting the club are entitled to Free School Meals.</w:t>
      </w:r>
    </w:p>
    <w:p w:rsidR="009E18DE" w:rsidRDefault="009E18DE" w:rsidP="005567E8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Only 52% of </w:t>
      </w:r>
      <w:proofErr w:type="gramStart"/>
      <w:r>
        <w:rPr>
          <w:rFonts w:ascii="Arial" w:hAnsi="Arial" w:cs="Arial"/>
          <w:sz w:val="24"/>
          <w:szCs w:val="24"/>
        </w:rPr>
        <w:t>pupils</w:t>
      </w:r>
      <w:proofErr w:type="gramEnd"/>
      <w:r>
        <w:rPr>
          <w:rFonts w:ascii="Arial" w:hAnsi="Arial" w:cs="Arial"/>
          <w:sz w:val="24"/>
          <w:szCs w:val="24"/>
        </w:rPr>
        <w:t xml:space="preserve"> who are entitled to FSM, use the breakfast clubs (Autumn 2014 figures).</w:t>
      </w:r>
    </w:p>
    <w:p w:rsidR="009E18DE" w:rsidRDefault="009E18DE" w:rsidP="005567E8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has the right to end the</w:t>
      </w:r>
      <w:r w:rsidR="005567E8">
        <w:rPr>
          <w:rFonts w:ascii="Arial" w:hAnsi="Arial" w:cs="Arial"/>
          <w:sz w:val="24"/>
          <w:szCs w:val="24"/>
        </w:rPr>
        <w:t xml:space="preserve"> provision if it deems that it is ‘unreasonable’ to continue with the provision. The definition of what may be seen as being ‘unreasonable’ is unclear.</w:t>
      </w:r>
    </w:p>
    <w:p w:rsidR="005567E8" w:rsidRDefault="005567E8" w:rsidP="005567E8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Recent actions</w:t>
      </w:r>
    </w:p>
    <w:p w:rsidR="005567E8" w:rsidRDefault="005567E8" w:rsidP="005567E8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5567E8">
        <w:rPr>
          <w:rFonts w:ascii="Arial" w:hAnsi="Arial" w:cs="Arial"/>
          <w:sz w:val="24"/>
          <w:szCs w:val="24"/>
        </w:rPr>
        <w:t xml:space="preserve">Task and Finish group </w:t>
      </w:r>
      <w:r>
        <w:rPr>
          <w:rFonts w:ascii="Arial" w:hAnsi="Arial" w:cs="Arial"/>
          <w:sz w:val="24"/>
          <w:szCs w:val="24"/>
        </w:rPr>
        <w:t>established following the request of the elected members.</w:t>
      </w:r>
      <w:r w:rsidR="00EA1198">
        <w:rPr>
          <w:rFonts w:ascii="Arial" w:hAnsi="Arial" w:cs="Arial"/>
          <w:sz w:val="24"/>
          <w:szCs w:val="24"/>
        </w:rPr>
        <w:t xml:space="preserve"> Constitutes 3 head teacher</w:t>
      </w:r>
      <w:r w:rsidR="00E058CF">
        <w:rPr>
          <w:rFonts w:ascii="Arial" w:hAnsi="Arial" w:cs="Arial"/>
          <w:sz w:val="24"/>
          <w:szCs w:val="24"/>
        </w:rPr>
        <w:t>s</w:t>
      </w:r>
      <w:r w:rsidR="00EA1198">
        <w:rPr>
          <w:rFonts w:ascii="Arial" w:hAnsi="Arial" w:cs="Arial"/>
          <w:sz w:val="24"/>
          <w:szCs w:val="24"/>
        </w:rPr>
        <w:t xml:space="preserve"> (Y </w:t>
      </w:r>
      <w:proofErr w:type="spellStart"/>
      <w:r w:rsidR="00EA1198">
        <w:rPr>
          <w:rFonts w:ascii="Arial" w:hAnsi="Arial" w:cs="Arial"/>
          <w:sz w:val="24"/>
          <w:szCs w:val="24"/>
        </w:rPr>
        <w:t>Graig</w:t>
      </w:r>
      <w:proofErr w:type="spellEnd"/>
      <w:r w:rsidR="00EA11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1198">
        <w:rPr>
          <w:rFonts w:ascii="Arial" w:hAnsi="Arial" w:cs="Arial"/>
          <w:sz w:val="24"/>
          <w:szCs w:val="24"/>
        </w:rPr>
        <w:t>Morswyn</w:t>
      </w:r>
      <w:proofErr w:type="spellEnd"/>
      <w:r w:rsidR="00EA119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EA1198">
        <w:rPr>
          <w:rFonts w:ascii="Arial" w:hAnsi="Arial" w:cs="Arial"/>
          <w:sz w:val="24"/>
          <w:szCs w:val="24"/>
        </w:rPr>
        <w:t>Moelfre</w:t>
      </w:r>
      <w:proofErr w:type="spellEnd"/>
      <w:r w:rsidR="00EA1198">
        <w:rPr>
          <w:rFonts w:ascii="Arial" w:hAnsi="Arial" w:cs="Arial"/>
          <w:sz w:val="24"/>
          <w:szCs w:val="24"/>
        </w:rPr>
        <w:t>); 3 Chairpersons of Governing Bodies (</w:t>
      </w:r>
      <w:proofErr w:type="spellStart"/>
      <w:r w:rsidR="00EA1198">
        <w:rPr>
          <w:rFonts w:ascii="Arial" w:hAnsi="Arial" w:cs="Arial"/>
          <w:sz w:val="24"/>
          <w:szCs w:val="24"/>
        </w:rPr>
        <w:t>Borth</w:t>
      </w:r>
      <w:proofErr w:type="spellEnd"/>
      <w:r w:rsidR="00EA11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1198">
        <w:rPr>
          <w:rFonts w:ascii="Arial" w:hAnsi="Arial" w:cs="Arial"/>
          <w:sz w:val="24"/>
          <w:szCs w:val="24"/>
        </w:rPr>
        <w:t>Rhoscolyn</w:t>
      </w:r>
      <w:proofErr w:type="spellEnd"/>
      <w:r w:rsidR="00EA11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1198">
        <w:rPr>
          <w:rFonts w:ascii="Arial" w:hAnsi="Arial" w:cs="Arial"/>
          <w:sz w:val="24"/>
          <w:szCs w:val="24"/>
        </w:rPr>
        <w:t>Esceifiog</w:t>
      </w:r>
      <w:proofErr w:type="spellEnd"/>
      <w:r w:rsidR="00EA1198">
        <w:rPr>
          <w:rFonts w:ascii="Arial" w:hAnsi="Arial" w:cs="Arial"/>
          <w:sz w:val="24"/>
          <w:szCs w:val="24"/>
        </w:rPr>
        <w:t>); 3 elected members (Cllrs. D R Thomas, John Griffith, Ieuan Williams); officers (Delyth Molyneux, Gareth Jones, Idris Parry); Local Voices/</w:t>
      </w:r>
      <w:proofErr w:type="spellStart"/>
      <w:r w:rsidR="00EA1198">
        <w:rPr>
          <w:rFonts w:ascii="Arial" w:hAnsi="Arial" w:cs="Arial"/>
          <w:sz w:val="24"/>
          <w:szCs w:val="24"/>
        </w:rPr>
        <w:t>Medrwn</w:t>
      </w:r>
      <w:proofErr w:type="spellEnd"/>
      <w:r w:rsidR="00EA1198">
        <w:rPr>
          <w:rFonts w:ascii="Arial" w:hAnsi="Arial" w:cs="Arial"/>
          <w:sz w:val="24"/>
          <w:szCs w:val="24"/>
        </w:rPr>
        <w:t xml:space="preserve"> Môn/CAB: Sally Haywood and Lyndsey Williams.</w:t>
      </w:r>
    </w:p>
    <w:p w:rsidR="00EA1198" w:rsidRDefault="00EA1198" w:rsidP="005567E8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to consult with parents via ‘survey monkey’, consultation period ended 15</w:t>
      </w:r>
      <w:r w:rsidRPr="00EA119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May. Only parents were able to comp</w:t>
      </w:r>
      <w:r w:rsidR="00E058C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ete the survey and could do so only once.</w:t>
      </w:r>
    </w:p>
    <w:p w:rsidR="00EA1198" w:rsidRDefault="00EA1198" w:rsidP="005567E8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response </w:t>
      </w:r>
      <w:r w:rsidR="00E058CF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over 1000 responses, with social media playing a key role, 83% responders through Facebook posting.</w:t>
      </w:r>
    </w:p>
    <w:p w:rsidR="00EA1198" w:rsidRDefault="00EA1198" w:rsidP="00EA1198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Main findings from the questionnaire.</w:t>
      </w:r>
      <w:proofErr w:type="gramEnd"/>
    </w:p>
    <w:p w:rsidR="00EA1198" w:rsidRDefault="00EA1198" w:rsidP="00EA1198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EA1198">
        <w:rPr>
          <w:rFonts w:ascii="Arial" w:hAnsi="Arial" w:cs="Arial"/>
          <w:sz w:val="24"/>
          <w:szCs w:val="24"/>
        </w:rPr>
        <w:t>10.9% of respondents claimed free school meals.</w:t>
      </w:r>
    </w:p>
    <w:p w:rsidR="00EA1198" w:rsidRDefault="00EA1198" w:rsidP="00EA1198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</w:t>
      </w:r>
      <w:r w:rsidR="00E058CF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of respondents used the breakfast club for their children.</w:t>
      </w:r>
    </w:p>
    <w:p w:rsidR="00EA1198" w:rsidRDefault="00EA1198" w:rsidP="00EA1198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93% used the club in order to access work.</w:t>
      </w:r>
    </w:p>
    <w:p w:rsidR="00EA1198" w:rsidRDefault="00EA1198" w:rsidP="00EA1198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response to the questions about costs and </w:t>
      </w:r>
      <w:r w:rsidR="00E058CF">
        <w:rPr>
          <w:rFonts w:ascii="Arial" w:hAnsi="Arial" w:cs="Arial"/>
          <w:sz w:val="24"/>
          <w:szCs w:val="24"/>
        </w:rPr>
        <w:t xml:space="preserve">possible </w:t>
      </w:r>
      <w:r>
        <w:rPr>
          <w:rFonts w:ascii="Arial" w:hAnsi="Arial" w:cs="Arial"/>
          <w:sz w:val="24"/>
          <w:szCs w:val="24"/>
        </w:rPr>
        <w:t>effect of having to pay</w:t>
      </w:r>
      <w:r w:rsidR="00906660">
        <w:rPr>
          <w:rFonts w:ascii="Arial" w:hAnsi="Arial" w:cs="Arial"/>
          <w:sz w:val="24"/>
          <w:szCs w:val="24"/>
        </w:rPr>
        <w:t xml:space="preserve"> for the club, 30% believed that paying 80p-£1 was acceptable, and 32% noted that any fee would affect their family budget.</w:t>
      </w:r>
    </w:p>
    <w:p w:rsidR="00906660" w:rsidRDefault="00906660" w:rsidP="00EA1198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question about what they</w:t>
      </w:r>
      <w:r w:rsidRPr="009066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 do if a fee was introduced, parents responded as follows:</w:t>
      </w:r>
      <w:r w:rsidR="00E058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23% </w:t>
      </w:r>
      <w:r w:rsidR="00E058CF">
        <w:rPr>
          <w:rFonts w:ascii="Arial" w:hAnsi="Arial" w:cs="Arial"/>
          <w:sz w:val="24"/>
          <w:szCs w:val="24"/>
        </w:rPr>
        <w:t xml:space="preserve">said they </w:t>
      </w:r>
      <w:r>
        <w:rPr>
          <w:rFonts w:ascii="Arial" w:hAnsi="Arial" w:cs="Arial"/>
          <w:sz w:val="24"/>
          <w:szCs w:val="24"/>
        </w:rPr>
        <w:t xml:space="preserve">would use friends or family for childcare. 17% would reduce other expenditure; 34% would consider reducing working hours; 26% responded ‘other’ and of these, 13% said they would give </w:t>
      </w:r>
      <w:r w:rsidR="00E058CF">
        <w:rPr>
          <w:rFonts w:ascii="Arial" w:hAnsi="Arial" w:cs="Arial"/>
          <w:sz w:val="24"/>
          <w:szCs w:val="24"/>
        </w:rPr>
        <w:t xml:space="preserve">their children </w:t>
      </w:r>
      <w:r>
        <w:rPr>
          <w:rFonts w:ascii="Arial" w:hAnsi="Arial" w:cs="Arial"/>
          <w:sz w:val="24"/>
          <w:szCs w:val="24"/>
        </w:rPr>
        <w:t>breakfast at home, and 30% said they would pay the fee.</w:t>
      </w:r>
    </w:p>
    <w:p w:rsidR="003A144F" w:rsidRDefault="003A144F" w:rsidP="00906660">
      <w:pPr>
        <w:spacing w:after="240" w:line="360" w:lineRule="auto"/>
        <w:rPr>
          <w:rFonts w:ascii="Arial" w:hAnsi="Arial" w:cs="Arial"/>
          <w:b/>
          <w:sz w:val="24"/>
          <w:szCs w:val="24"/>
        </w:rPr>
      </w:pPr>
    </w:p>
    <w:p w:rsidR="00906660" w:rsidRDefault="00906660" w:rsidP="00906660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Next steps</w:t>
      </w:r>
    </w:p>
    <w:p w:rsidR="00906660" w:rsidRDefault="00906660" w:rsidP="00906660">
      <w:pPr>
        <w:pStyle w:val="ListParagraph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06660">
        <w:rPr>
          <w:rFonts w:ascii="Arial" w:hAnsi="Arial" w:cs="Arial"/>
          <w:sz w:val="24"/>
          <w:szCs w:val="24"/>
        </w:rPr>
        <w:t>Receive further legal advice about what is possible on the basis of the questionnaire’s findings.</w:t>
      </w:r>
    </w:p>
    <w:p w:rsidR="0098272B" w:rsidRDefault="0098272B" w:rsidP="0098272B">
      <w:pPr>
        <w:pStyle w:val="ListParagraph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the results of the questionnaire with schools, and the possible options in order to facilitate a discussion with Governing Bodies.</w:t>
      </w:r>
    </w:p>
    <w:p w:rsidR="00906660" w:rsidRDefault="00906660" w:rsidP="00906660">
      <w:pPr>
        <w:pStyle w:val="ListParagraph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 and Finish group to discuss the results, and decide on the range of possible options</w:t>
      </w:r>
      <w:r w:rsidR="00E058CF">
        <w:rPr>
          <w:rFonts w:ascii="Arial" w:hAnsi="Arial" w:cs="Arial"/>
          <w:sz w:val="24"/>
          <w:szCs w:val="24"/>
        </w:rPr>
        <w:t xml:space="preserve"> to take forward for elected members’ decision</w:t>
      </w:r>
      <w:r>
        <w:rPr>
          <w:rFonts w:ascii="Arial" w:hAnsi="Arial" w:cs="Arial"/>
          <w:sz w:val="24"/>
          <w:szCs w:val="24"/>
        </w:rPr>
        <w:t>.</w:t>
      </w:r>
    </w:p>
    <w:p w:rsidR="00906660" w:rsidRDefault="00906660" w:rsidP="00906660">
      <w:pPr>
        <w:pStyle w:val="ListParagraph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update the minister and his officers.</w:t>
      </w:r>
    </w:p>
    <w:p w:rsidR="008A3CC2" w:rsidRPr="008A3CC2" w:rsidRDefault="00906660" w:rsidP="008A3CC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Possible outline options, for discussion and agreement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96"/>
      </w:tblGrid>
      <w:tr w:rsidR="008A3CC2" w:rsidRPr="008A3CC2" w:rsidTr="008A3C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C2" w:rsidRPr="008A3CC2" w:rsidRDefault="008A3CC2" w:rsidP="008A3CC2">
            <w:pPr>
              <w:spacing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CC2">
              <w:rPr>
                <w:rFonts w:ascii="Arial" w:hAnsi="Arial" w:cs="Arial"/>
                <w:b/>
                <w:sz w:val="24"/>
                <w:szCs w:val="24"/>
              </w:rPr>
              <w:t>Option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C2" w:rsidRPr="008A3CC2" w:rsidRDefault="008A3CC2" w:rsidP="008A3CC2">
            <w:pPr>
              <w:spacing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CC2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8A3CC2" w:rsidRPr="008A3CC2" w:rsidTr="008A3C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C2" w:rsidRPr="008A3CC2" w:rsidRDefault="008A3CC2" w:rsidP="008A3CC2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C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C2" w:rsidRPr="008A3CC2" w:rsidRDefault="008A3CC2" w:rsidP="008A3CC2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CC2">
              <w:rPr>
                <w:rFonts w:ascii="Arial" w:hAnsi="Arial" w:cs="Arial"/>
                <w:sz w:val="24"/>
                <w:szCs w:val="24"/>
              </w:rPr>
              <w:t>Keep to the present scheme BUT</w:t>
            </w:r>
            <w:r>
              <w:rPr>
                <w:rFonts w:ascii="Arial" w:hAnsi="Arial" w:cs="Arial"/>
                <w:sz w:val="24"/>
                <w:szCs w:val="24"/>
              </w:rPr>
              <w:t xml:space="preserve"> either</w:t>
            </w:r>
          </w:p>
        </w:tc>
      </w:tr>
      <w:tr w:rsidR="008A3CC2" w:rsidRPr="008A3CC2" w:rsidTr="008A3C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C2" w:rsidRPr="008A3CC2" w:rsidRDefault="008A3CC2" w:rsidP="008A3CC2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CC2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C2" w:rsidRPr="008A3CC2" w:rsidRDefault="008A3CC2" w:rsidP="008A3CC2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CC2">
              <w:rPr>
                <w:rFonts w:ascii="Arial" w:hAnsi="Arial" w:cs="Arial"/>
                <w:sz w:val="24"/>
                <w:szCs w:val="24"/>
              </w:rPr>
              <w:t xml:space="preserve">Change employment from an </w:t>
            </w:r>
            <w:r w:rsidRPr="008A3CC2">
              <w:rPr>
                <w:rFonts w:ascii="Arial" w:hAnsi="Arial" w:cs="Arial"/>
                <w:b/>
                <w:sz w:val="24"/>
                <w:szCs w:val="24"/>
              </w:rPr>
              <w:t>hour to half an hour</w:t>
            </w:r>
            <w:r w:rsidRPr="008A3CC2">
              <w:rPr>
                <w:rFonts w:ascii="Arial" w:hAnsi="Arial" w:cs="Arial"/>
                <w:sz w:val="24"/>
                <w:szCs w:val="24"/>
              </w:rPr>
              <w:t xml:space="preserve"> with the free breakfast club running from 8.30 to 8.50.</w:t>
            </w:r>
          </w:p>
        </w:tc>
      </w:tr>
      <w:tr w:rsidR="008A3CC2" w:rsidRPr="008A3CC2" w:rsidTr="008A3C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C2" w:rsidRPr="008A3CC2" w:rsidRDefault="008A3CC2" w:rsidP="008A3CC2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CC2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C2" w:rsidRPr="008A3CC2" w:rsidRDefault="008A3CC2" w:rsidP="008A3CC2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8A3CC2">
              <w:rPr>
                <w:rFonts w:ascii="Arial" w:hAnsi="Arial" w:cs="Arial"/>
                <w:sz w:val="24"/>
                <w:szCs w:val="24"/>
              </w:rPr>
              <w:t>End employment of supervisors and arrange volunteers.(but not in the kitchen)</w:t>
            </w:r>
          </w:p>
        </w:tc>
      </w:tr>
      <w:tr w:rsidR="008A3CC2" w:rsidRPr="008A3CC2" w:rsidTr="008A3C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C2" w:rsidRPr="008A3CC2" w:rsidRDefault="008A3CC2" w:rsidP="008A3CC2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C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C2" w:rsidRPr="008A3CC2" w:rsidRDefault="008A3CC2" w:rsidP="008A3CC2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CC2">
              <w:rPr>
                <w:rFonts w:ascii="Arial" w:hAnsi="Arial" w:cs="Arial"/>
                <w:sz w:val="24"/>
                <w:szCs w:val="24"/>
              </w:rPr>
              <w:t>Governing Body withdraw from the scheme AND</w:t>
            </w:r>
            <w:r>
              <w:rPr>
                <w:rFonts w:ascii="Arial" w:hAnsi="Arial" w:cs="Arial"/>
                <w:sz w:val="24"/>
                <w:szCs w:val="24"/>
              </w:rPr>
              <w:t xml:space="preserve"> either</w:t>
            </w:r>
          </w:p>
        </w:tc>
      </w:tr>
      <w:tr w:rsidR="008A3CC2" w:rsidRPr="008A3CC2" w:rsidTr="008A3C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C2" w:rsidRPr="008A3CC2" w:rsidRDefault="008A3CC2" w:rsidP="008A3CC2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CC2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C2" w:rsidRPr="008A3CC2" w:rsidRDefault="008A3CC2" w:rsidP="008A3CC2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CC2">
              <w:rPr>
                <w:rFonts w:ascii="Arial" w:hAnsi="Arial" w:cs="Arial"/>
                <w:sz w:val="24"/>
                <w:szCs w:val="24"/>
              </w:rPr>
              <w:t>Join the ‘</w:t>
            </w:r>
            <w:proofErr w:type="spellStart"/>
            <w:r w:rsidRPr="008A3CC2">
              <w:rPr>
                <w:rFonts w:ascii="Arial" w:hAnsi="Arial" w:cs="Arial"/>
                <w:sz w:val="24"/>
                <w:szCs w:val="24"/>
              </w:rPr>
              <w:t>Clwb</w:t>
            </w:r>
            <w:proofErr w:type="spellEnd"/>
            <w:r w:rsidRPr="008A3CC2">
              <w:rPr>
                <w:rFonts w:ascii="Arial" w:hAnsi="Arial" w:cs="Arial"/>
                <w:sz w:val="24"/>
                <w:szCs w:val="24"/>
              </w:rPr>
              <w:t xml:space="preserve"> Bore Bach’</w:t>
            </w:r>
            <w:r>
              <w:rPr>
                <w:rFonts w:ascii="Arial" w:hAnsi="Arial" w:cs="Arial"/>
                <w:sz w:val="24"/>
                <w:szCs w:val="24"/>
              </w:rPr>
              <w:t xml:space="preserve"> care club which would include a breakfast. Free to FSM pupils with a ‘capped fee’ for families with more than two children of a maximum of £12.50 per week.</w:t>
            </w:r>
          </w:p>
        </w:tc>
      </w:tr>
      <w:tr w:rsidR="008A3CC2" w:rsidRPr="008A3CC2" w:rsidTr="008A3C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C2" w:rsidRPr="008A3CC2" w:rsidRDefault="008A3CC2" w:rsidP="008A3CC2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CC2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C2" w:rsidRPr="008A3CC2" w:rsidRDefault="008A3CC2" w:rsidP="008A3CC2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8A3CC2">
              <w:rPr>
                <w:rFonts w:ascii="Arial" w:hAnsi="Arial" w:cs="Arial"/>
                <w:sz w:val="24"/>
                <w:szCs w:val="24"/>
              </w:rPr>
              <w:t xml:space="preserve">Schools arrange their own schemes, receiving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8A3CC2">
              <w:rPr>
                <w:rFonts w:ascii="Arial" w:hAnsi="Arial" w:cs="Arial"/>
                <w:sz w:val="24"/>
                <w:szCs w:val="24"/>
              </w:rPr>
              <w:t xml:space="preserve">delegated </w:t>
            </w:r>
            <w:r>
              <w:rPr>
                <w:rFonts w:ascii="Arial" w:hAnsi="Arial" w:cs="Arial"/>
                <w:sz w:val="24"/>
                <w:szCs w:val="24"/>
              </w:rPr>
              <w:t xml:space="preserve">.sum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the authority in contribution</w:t>
            </w:r>
          </w:p>
        </w:tc>
      </w:tr>
      <w:tr w:rsidR="008A3CC2" w:rsidRPr="008A3CC2" w:rsidTr="008A3C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C2" w:rsidRPr="008A3CC2" w:rsidRDefault="008A3CC2" w:rsidP="008A3CC2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C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C2" w:rsidRPr="008A3CC2" w:rsidRDefault="008A3CC2" w:rsidP="008A3CC2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CC2">
              <w:rPr>
                <w:rFonts w:ascii="Arial" w:hAnsi="Arial" w:cs="Arial"/>
                <w:sz w:val="24"/>
                <w:szCs w:val="24"/>
              </w:rPr>
              <w:t xml:space="preserve">Run a </w:t>
            </w:r>
            <w:proofErr w:type="spellStart"/>
            <w:r w:rsidRPr="008A3CC2">
              <w:rPr>
                <w:rFonts w:ascii="Arial" w:hAnsi="Arial" w:cs="Arial"/>
                <w:sz w:val="24"/>
                <w:szCs w:val="24"/>
              </w:rPr>
              <w:t>care</w:t>
            </w:r>
            <w:proofErr w:type="spellEnd"/>
            <w:r w:rsidRPr="008A3CC2">
              <w:rPr>
                <w:rFonts w:ascii="Arial" w:hAnsi="Arial" w:cs="Arial"/>
                <w:sz w:val="24"/>
                <w:szCs w:val="24"/>
              </w:rPr>
              <w:t xml:space="preserve"> club between 8.00 and 8.30 at a fee of between 50-75p for all children per day</w:t>
            </w:r>
            <w:r>
              <w:rPr>
                <w:rFonts w:ascii="Arial" w:hAnsi="Arial" w:cs="Arial"/>
                <w:sz w:val="24"/>
                <w:szCs w:val="24"/>
              </w:rPr>
              <w:t>, with a ‘capped fee’ for families with more than two children</w:t>
            </w:r>
            <w:r w:rsidRPr="008A3CC2">
              <w:rPr>
                <w:rFonts w:ascii="Arial" w:hAnsi="Arial" w:cs="Arial"/>
                <w:sz w:val="24"/>
                <w:szCs w:val="24"/>
              </w:rPr>
              <w:t xml:space="preserve">. Then a Free Breakfast Club to run from 8.30 to 8.50. Use current staff at existing terms. This allows parents to </w:t>
            </w:r>
            <w:r w:rsidRPr="008A3CC2">
              <w:rPr>
                <w:rFonts w:ascii="Arial" w:hAnsi="Arial" w:cs="Arial"/>
                <w:sz w:val="24"/>
                <w:szCs w:val="24"/>
              </w:rPr>
              <w:lastRenderedPageBreak/>
              <w:t>send their children to the free breakfast club by 8.30.</w:t>
            </w:r>
          </w:p>
        </w:tc>
      </w:tr>
    </w:tbl>
    <w:p w:rsidR="00906660" w:rsidRDefault="00906660" w:rsidP="00906660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011FE3" w:rsidRDefault="003A144F" w:rsidP="003A14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  <w:r>
        <w:rPr>
          <w:rFonts w:ascii="Arial" w:eastAsia="Calibri" w:hAnsi="Arial" w:cs="Arial"/>
          <w:sz w:val="24"/>
          <w:szCs w:val="24"/>
          <w:lang w:val="en-US" w:eastAsia="en-GB"/>
        </w:rPr>
        <w:t xml:space="preserve">The results of the Governing Body survey will </w:t>
      </w:r>
      <w:proofErr w:type="gramStart"/>
      <w:r>
        <w:rPr>
          <w:rFonts w:ascii="Arial" w:eastAsia="Calibri" w:hAnsi="Arial" w:cs="Arial"/>
          <w:sz w:val="24"/>
          <w:szCs w:val="24"/>
          <w:lang w:val="en-US" w:eastAsia="en-GB"/>
        </w:rPr>
        <w:t>inform  the</w:t>
      </w:r>
      <w:proofErr w:type="gramEnd"/>
      <w:r>
        <w:rPr>
          <w:rFonts w:ascii="Arial" w:eastAsia="Calibri" w:hAnsi="Arial" w:cs="Arial"/>
          <w:sz w:val="24"/>
          <w:szCs w:val="24"/>
          <w:lang w:val="en-US" w:eastAsia="en-GB"/>
        </w:rPr>
        <w:t xml:space="preserve"> next steps of </w:t>
      </w:r>
      <w:r w:rsidR="00011FE3">
        <w:rPr>
          <w:rFonts w:ascii="Arial" w:eastAsia="Calibri" w:hAnsi="Arial" w:cs="Arial"/>
          <w:sz w:val="24"/>
          <w:szCs w:val="24"/>
          <w:lang w:val="en-US" w:eastAsia="en-GB"/>
        </w:rPr>
        <w:t>the Ta</w:t>
      </w:r>
      <w:r>
        <w:rPr>
          <w:rFonts w:ascii="Arial" w:eastAsia="Calibri" w:hAnsi="Arial" w:cs="Arial"/>
          <w:sz w:val="24"/>
          <w:szCs w:val="24"/>
          <w:lang w:val="en-US" w:eastAsia="en-GB"/>
        </w:rPr>
        <w:t>sk and Finish group</w:t>
      </w:r>
      <w:r w:rsidR="00011FE3">
        <w:rPr>
          <w:rFonts w:ascii="Arial" w:eastAsia="Calibri" w:hAnsi="Arial" w:cs="Arial"/>
          <w:sz w:val="24"/>
          <w:szCs w:val="24"/>
          <w:lang w:val="en-US" w:eastAsia="en-GB"/>
        </w:rPr>
        <w:t>.</w:t>
      </w:r>
    </w:p>
    <w:p w:rsidR="00011FE3" w:rsidRDefault="00011FE3" w:rsidP="003A14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3A144F" w:rsidRPr="003A144F" w:rsidRDefault="00011FE3" w:rsidP="003A14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  <w:r>
        <w:rPr>
          <w:rFonts w:ascii="Arial" w:eastAsia="Calibri" w:hAnsi="Arial" w:cs="Arial"/>
          <w:sz w:val="24"/>
          <w:szCs w:val="24"/>
          <w:lang w:val="en-US" w:eastAsia="en-GB"/>
        </w:rPr>
        <w:t xml:space="preserve">On the basis of the results of the parent and school governor surveys, final options will be presented to elected members to decide upon </w:t>
      </w:r>
      <w:r w:rsidR="00AB3AF0">
        <w:rPr>
          <w:rFonts w:ascii="Arial" w:eastAsia="Calibri" w:hAnsi="Arial" w:cs="Arial"/>
          <w:sz w:val="24"/>
          <w:szCs w:val="24"/>
          <w:lang w:val="en-US" w:eastAsia="en-GB"/>
        </w:rPr>
        <w:t>by</w:t>
      </w:r>
      <w:r>
        <w:rPr>
          <w:rFonts w:ascii="Arial" w:eastAsia="Calibri" w:hAnsi="Arial" w:cs="Arial"/>
          <w:sz w:val="24"/>
          <w:szCs w:val="24"/>
          <w:lang w:val="en-US" w:eastAsia="en-GB"/>
        </w:rPr>
        <w:t xml:space="preserve"> October 2015.</w:t>
      </w:r>
      <w:r w:rsidR="003A144F">
        <w:rPr>
          <w:rFonts w:ascii="Arial" w:eastAsia="Calibri" w:hAnsi="Arial" w:cs="Arial"/>
          <w:sz w:val="24"/>
          <w:szCs w:val="24"/>
          <w:lang w:val="en-US" w:eastAsia="en-GB"/>
        </w:rPr>
        <w:t xml:space="preserve"> </w:t>
      </w:r>
    </w:p>
    <w:p w:rsidR="003A144F" w:rsidRPr="003A144F" w:rsidRDefault="003A144F" w:rsidP="003A14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bookmarkStart w:id="0" w:name="_GoBack"/>
      <w:bookmarkEnd w:id="0"/>
    </w:p>
    <w:sectPr w:rsidR="003A144F" w:rsidRPr="003A1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F11"/>
    <w:multiLevelType w:val="hybridMultilevel"/>
    <w:tmpl w:val="B358A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42061"/>
    <w:multiLevelType w:val="hybridMultilevel"/>
    <w:tmpl w:val="9EB6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94F5A"/>
    <w:multiLevelType w:val="hybridMultilevel"/>
    <w:tmpl w:val="FD66E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27A32"/>
    <w:multiLevelType w:val="hybridMultilevel"/>
    <w:tmpl w:val="60504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53B0B"/>
    <w:multiLevelType w:val="hybridMultilevel"/>
    <w:tmpl w:val="C7F2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B7"/>
    <w:rsid w:val="00001EE8"/>
    <w:rsid w:val="000046EE"/>
    <w:rsid w:val="000051F6"/>
    <w:rsid w:val="00005BE7"/>
    <w:rsid w:val="00011DA9"/>
    <w:rsid w:val="00011FE3"/>
    <w:rsid w:val="00012BA5"/>
    <w:rsid w:val="00013D07"/>
    <w:rsid w:val="00021DBB"/>
    <w:rsid w:val="00023FFD"/>
    <w:rsid w:val="00025536"/>
    <w:rsid w:val="0003217F"/>
    <w:rsid w:val="00045891"/>
    <w:rsid w:val="0004619F"/>
    <w:rsid w:val="000469EB"/>
    <w:rsid w:val="00050430"/>
    <w:rsid w:val="00052059"/>
    <w:rsid w:val="000569FB"/>
    <w:rsid w:val="00073377"/>
    <w:rsid w:val="00074816"/>
    <w:rsid w:val="00082021"/>
    <w:rsid w:val="000824B0"/>
    <w:rsid w:val="0008398A"/>
    <w:rsid w:val="00090AE0"/>
    <w:rsid w:val="000922D8"/>
    <w:rsid w:val="000A2DEC"/>
    <w:rsid w:val="000A472D"/>
    <w:rsid w:val="000A5F0B"/>
    <w:rsid w:val="000B17A7"/>
    <w:rsid w:val="000C2B32"/>
    <w:rsid w:val="000C41B0"/>
    <w:rsid w:val="000C4601"/>
    <w:rsid w:val="000D02C9"/>
    <w:rsid w:val="000D2086"/>
    <w:rsid w:val="000D3F97"/>
    <w:rsid w:val="000E05EB"/>
    <w:rsid w:val="000F7688"/>
    <w:rsid w:val="00101C86"/>
    <w:rsid w:val="00102402"/>
    <w:rsid w:val="00103CB8"/>
    <w:rsid w:val="0010499A"/>
    <w:rsid w:val="00112297"/>
    <w:rsid w:val="00113875"/>
    <w:rsid w:val="00117BDB"/>
    <w:rsid w:val="00121989"/>
    <w:rsid w:val="001241FC"/>
    <w:rsid w:val="00127534"/>
    <w:rsid w:val="00130923"/>
    <w:rsid w:val="00137E18"/>
    <w:rsid w:val="0014189E"/>
    <w:rsid w:val="00152825"/>
    <w:rsid w:val="00153F6C"/>
    <w:rsid w:val="00155846"/>
    <w:rsid w:val="001565AD"/>
    <w:rsid w:val="00160A4D"/>
    <w:rsid w:val="00163C51"/>
    <w:rsid w:val="00165D7D"/>
    <w:rsid w:val="00175E57"/>
    <w:rsid w:val="0017789A"/>
    <w:rsid w:val="00190FC8"/>
    <w:rsid w:val="001912DF"/>
    <w:rsid w:val="001A25CC"/>
    <w:rsid w:val="001A56F6"/>
    <w:rsid w:val="001B0FA9"/>
    <w:rsid w:val="001C204E"/>
    <w:rsid w:val="001C36A6"/>
    <w:rsid w:val="001C3B0A"/>
    <w:rsid w:val="001C546C"/>
    <w:rsid w:val="001D37F6"/>
    <w:rsid w:val="001D47CD"/>
    <w:rsid w:val="001E2B4F"/>
    <w:rsid w:val="001E2D81"/>
    <w:rsid w:val="001E4DCA"/>
    <w:rsid w:val="001E506E"/>
    <w:rsid w:val="001F3648"/>
    <w:rsid w:val="001F4A2E"/>
    <w:rsid w:val="00205063"/>
    <w:rsid w:val="00206A75"/>
    <w:rsid w:val="0020770F"/>
    <w:rsid w:val="00207BFF"/>
    <w:rsid w:val="00214779"/>
    <w:rsid w:val="0022317F"/>
    <w:rsid w:val="002274AC"/>
    <w:rsid w:val="002312D3"/>
    <w:rsid w:val="00231D2B"/>
    <w:rsid w:val="002320ED"/>
    <w:rsid w:val="0023721A"/>
    <w:rsid w:val="002529F5"/>
    <w:rsid w:val="002537E0"/>
    <w:rsid w:val="00253B7B"/>
    <w:rsid w:val="002559A9"/>
    <w:rsid w:val="00257DF2"/>
    <w:rsid w:val="00266BA3"/>
    <w:rsid w:val="002676C6"/>
    <w:rsid w:val="00273646"/>
    <w:rsid w:val="00274755"/>
    <w:rsid w:val="002858BC"/>
    <w:rsid w:val="002866E5"/>
    <w:rsid w:val="002924BC"/>
    <w:rsid w:val="002927CD"/>
    <w:rsid w:val="00293E02"/>
    <w:rsid w:val="00295C1E"/>
    <w:rsid w:val="0029620A"/>
    <w:rsid w:val="002A5CE3"/>
    <w:rsid w:val="002B4FF8"/>
    <w:rsid w:val="002B56C4"/>
    <w:rsid w:val="002B6D7E"/>
    <w:rsid w:val="002C12E4"/>
    <w:rsid w:val="002C1364"/>
    <w:rsid w:val="002C2383"/>
    <w:rsid w:val="002C4143"/>
    <w:rsid w:val="002D3406"/>
    <w:rsid w:val="002F04CF"/>
    <w:rsid w:val="002F533C"/>
    <w:rsid w:val="002F6DEE"/>
    <w:rsid w:val="00300148"/>
    <w:rsid w:val="00301EC1"/>
    <w:rsid w:val="003021CD"/>
    <w:rsid w:val="00307CD8"/>
    <w:rsid w:val="00310FCF"/>
    <w:rsid w:val="003174E0"/>
    <w:rsid w:val="00322673"/>
    <w:rsid w:val="00323CB4"/>
    <w:rsid w:val="003412DD"/>
    <w:rsid w:val="00341599"/>
    <w:rsid w:val="00343572"/>
    <w:rsid w:val="003537D5"/>
    <w:rsid w:val="003547B5"/>
    <w:rsid w:val="00360EC0"/>
    <w:rsid w:val="003611FA"/>
    <w:rsid w:val="00375725"/>
    <w:rsid w:val="0038302E"/>
    <w:rsid w:val="00385BF4"/>
    <w:rsid w:val="00390FC4"/>
    <w:rsid w:val="00395082"/>
    <w:rsid w:val="003A144F"/>
    <w:rsid w:val="003A53EA"/>
    <w:rsid w:val="003B27FF"/>
    <w:rsid w:val="003C6459"/>
    <w:rsid w:val="003D1CA8"/>
    <w:rsid w:val="003D24F5"/>
    <w:rsid w:val="003D3239"/>
    <w:rsid w:val="003D5B13"/>
    <w:rsid w:val="003D782E"/>
    <w:rsid w:val="003E056B"/>
    <w:rsid w:val="003E117C"/>
    <w:rsid w:val="003F1607"/>
    <w:rsid w:val="003F1AAB"/>
    <w:rsid w:val="003F5CB0"/>
    <w:rsid w:val="003F700F"/>
    <w:rsid w:val="00405738"/>
    <w:rsid w:val="004074B7"/>
    <w:rsid w:val="00407C74"/>
    <w:rsid w:val="004141F8"/>
    <w:rsid w:val="00421660"/>
    <w:rsid w:val="00422F92"/>
    <w:rsid w:val="00434EA6"/>
    <w:rsid w:val="004369D6"/>
    <w:rsid w:val="00444E6D"/>
    <w:rsid w:val="00461298"/>
    <w:rsid w:val="004625E1"/>
    <w:rsid w:val="004676D0"/>
    <w:rsid w:val="004722AF"/>
    <w:rsid w:val="00472981"/>
    <w:rsid w:val="00475C86"/>
    <w:rsid w:val="004767AD"/>
    <w:rsid w:val="0049023B"/>
    <w:rsid w:val="00493450"/>
    <w:rsid w:val="004C0652"/>
    <w:rsid w:val="004C20DA"/>
    <w:rsid w:val="004C4599"/>
    <w:rsid w:val="004C62E6"/>
    <w:rsid w:val="004D7C76"/>
    <w:rsid w:val="004E00F6"/>
    <w:rsid w:val="004E087F"/>
    <w:rsid w:val="004E2151"/>
    <w:rsid w:val="004E47D0"/>
    <w:rsid w:val="004E5EEE"/>
    <w:rsid w:val="004E6EEE"/>
    <w:rsid w:val="004E7BE6"/>
    <w:rsid w:val="004F18D0"/>
    <w:rsid w:val="004F31ED"/>
    <w:rsid w:val="004F55D8"/>
    <w:rsid w:val="004F6D10"/>
    <w:rsid w:val="00500279"/>
    <w:rsid w:val="005008B0"/>
    <w:rsid w:val="005034EB"/>
    <w:rsid w:val="0050409D"/>
    <w:rsid w:val="00507717"/>
    <w:rsid w:val="00510618"/>
    <w:rsid w:val="00510B28"/>
    <w:rsid w:val="00511DEC"/>
    <w:rsid w:val="005162E9"/>
    <w:rsid w:val="00524965"/>
    <w:rsid w:val="00525937"/>
    <w:rsid w:val="00530207"/>
    <w:rsid w:val="0053629F"/>
    <w:rsid w:val="0054040D"/>
    <w:rsid w:val="00545083"/>
    <w:rsid w:val="0054573C"/>
    <w:rsid w:val="005478C0"/>
    <w:rsid w:val="00555995"/>
    <w:rsid w:val="005567E8"/>
    <w:rsid w:val="005641C2"/>
    <w:rsid w:val="00580156"/>
    <w:rsid w:val="00583050"/>
    <w:rsid w:val="00595692"/>
    <w:rsid w:val="005A3F20"/>
    <w:rsid w:val="005A45DC"/>
    <w:rsid w:val="005A4BF7"/>
    <w:rsid w:val="005A75DD"/>
    <w:rsid w:val="005B30C8"/>
    <w:rsid w:val="005B36D6"/>
    <w:rsid w:val="005C21D4"/>
    <w:rsid w:val="005C447C"/>
    <w:rsid w:val="005C46B6"/>
    <w:rsid w:val="005C73C3"/>
    <w:rsid w:val="005C7697"/>
    <w:rsid w:val="005C7C3B"/>
    <w:rsid w:val="005D2389"/>
    <w:rsid w:val="005D7A4A"/>
    <w:rsid w:val="005E06F3"/>
    <w:rsid w:val="005F0C52"/>
    <w:rsid w:val="005F3D49"/>
    <w:rsid w:val="005F44E4"/>
    <w:rsid w:val="005F55C9"/>
    <w:rsid w:val="005F595E"/>
    <w:rsid w:val="00602A49"/>
    <w:rsid w:val="006071A8"/>
    <w:rsid w:val="00610C5F"/>
    <w:rsid w:val="006128DD"/>
    <w:rsid w:val="0061391C"/>
    <w:rsid w:val="00613EE4"/>
    <w:rsid w:val="006146C1"/>
    <w:rsid w:val="00615546"/>
    <w:rsid w:val="006238D6"/>
    <w:rsid w:val="00630A18"/>
    <w:rsid w:val="0063443E"/>
    <w:rsid w:val="00634FB3"/>
    <w:rsid w:val="006362E8"/>
    <w:rsid w:val="006401A1"/>
    <w:rsid w:val="00654028"/>
    <w:rsid w:val="00667599"/>
    <w:rsid w:val="006722DB"/>
    <w:rsid w:val="00676282"/>
    <w:rsid w:val="00692346"/>
    <w:rsid w:val="00695647"/>
    <w:rsid w:val="00695FC3"/>
    <w:rsid w:val="00696619"/>
    <w:rsid w:val="006B4240"/>
    <w:rsid w:val="006C6B88"/>
    <w:rsid w:val="006C71C4"/>
    <w:rsid w:val="006D0128"/>
    <w:rsid w:val="006E6B20"/>
    <w:rsid w:val="006F05D8"/>
    <w:rsid w:val="006F5ADD"/>
    <w:rsid w:val="0070190B"/>
    <w:rsid w:val="00703880"/>
    <w:rsid w:val="00726EE1"/>
    <w:rsid w:val="00756425"/>
    <w:rsid w:val="007604A8"/>
    <w:rsid w:val="00776C09"/>
    <w:rsid w:val="00780A8A"/>
    <w:rsid w:val="00784B62"/>
    <w:rsid w:val="00785D98"/>
    <w:rsid w:val="007911F4"/>
    <w:rsid w:val="007960B3"/>
    <w:rsid w:val="00796829"/>
    <w:rsid w:val="007B5FE4"/>
    <w:rsid w:val="007C13E4"/>
    <w:rsid w:val="007C2B2C"/>
    <w:rsid w:val="007C43DE"/>
    <w:rsid w:val="007C73F4"/>
    <w:rsid w:val="007D7FF8"/>
    <w:rsid w:val="007E1982"/>
    <w:rsid w:val="007E54B2"/>
    <w:rsid w:val="007F216D"/>
    <w:rsid w:val="007F2F99"/>
    <w:rsid w:val="007F7065"/>
    <w:rsid w:val="008038E5"/>
    <w:rsid w:val="00803C58"/>
    <w:rsid w:val="008054B2"/>
    <w:rsid w:val="00807597"/>
    <w:rsid w:val="00810F4C"/>
    <w:rsid w:val="0081222E"/>
    <w:rsid w:val="008141D3"/>
    <w:rsid w:val="0081440C"/>
    <w:rsid w:val="00817515"/>
    <w:rsid w:val="0083268D"/>
    <w:rsid w:val="008327F6"/>
    <w:rsid w:val="0084211C"/>
    <w:rsid w:val="008468A2"/>
    <w:rsid w:val="00852705"/>
    <w:rsid w:val="00861F50"/>
    <w:rsid w:val="008655C6"/>
    <w:rsid w:val="00866B13"/>
    <w:rsid w:val="008711AF"/>
    <w:rsid w:val="00873140"/>
    <w:rsid w:val="00881485"/>
    <w:rsid w:val="00881490"/>
    <w:rsid w:val="00882FCB"/>
    <w:rsid w:val="00890630"/>
    <w:rsid w:val="00890ADB"/>
    <w:rsid w:val="00892E7B"/>
    <w:rsid w:val="008936A8"/>
    <w:rsid w:val="00894970"/>
    <w:rsid w:val="0089704D"/>
    <w:rsid w:val="00897EAB"/>
    <w:rsid w:val="008A2134"/>
    <w:rsid w:val="008A3CC2"/>
    <w:rsid w:val="008A7563"/>
    <w:rsid w:val="008C6960"/>
    <w:rsid w:val="008C780E"/>
    <w:rsid w:val="008E32DC"/>
    <w:rsid w:val="008E516F"/>
    <w:rsid w:val="008F16E8"/>
    <w:rsid w:val="008F3B18"/>
    <w:rsid w:val="008F535C"/>
    <w:rsid w:val="008F5C40"/>
    <w:rsid w:val="008F6853"/>
    <w:rsid w:val="009007C8"/>
    <w:rsid w:val="00905DCC"/>
    <w:rsid w:val="00906660"/>
    <w:rsid w:val="00910D76"/>
    <w:rsid w:val="00924F3D"/>
    <w:rsid w:val="00933055"/>
    <w:rsid w:val="00934F9C"/>
    <w:rsid w:val="00934FE8"/>
    <w:rsid w:val="009472A4"/>
    <w:rsid w:val="00952B24"/>
    <w:rsid w:val="009564B9"/>
    <w:rsid w:val="00960285"/>
    <w:rsid w:val="00960723"/>
    <w:rsid w:val="00963861"/>
    <w:rsid w:val="00964427"/>
    <w:rsid w:val="009674B1"/>
    <w:rsid w:val="00973653"/>
    <w:rsid w:val="00976621"/>
    <w:rsid w:val="00981753"/>
    <w:rsid w:val="009824CB"/>
    <w:rsid w:val="0098272B"/>
    <w:rsid w:val="00983E19"/>
    <w:rsid w:val="00984679"/>
    <w:rsid w:val="00985448"/>
    <w:rsid w:val="00991655"/>
    <w:rsid w:val="00996EBB"/>
    <w:rsid w:val="009A0102"/>
    <w:rsid w:val="009A0314"/>
    <w:rsid w:val="009A1196"/>
    <w:rsid w:val="009A1819"/>
    <w:rsid w:val="009A1EFB"/>
    <w:rsid w:val="009A1F3E"/>
    <w:rsid w:val="009A30C4"/>
    <w:rsid w:val="009B6B97"/>
    <w:rsid w:val="009E18DE"/>
    <w:rsid w:val="009E323D"/>
    <w:rsid w:val="00A14E32"/>
    <w:rsid w:val="00A16FE9"/>
    <w:rsid w:val="00A22664"/>
    <w:rsid w:val="00A26049"/>
    <w:rsid w:val="00A26E57"/>
    <w:rsid w:val="00A27040"/>
    <w:rsid w:val="00A32103"/>
    <w:rsid w:val="00A3643C"/>
    <w:rsid w:val="00A51785"/>
    <w:rsid w:val="00A52409"/>
    <w:rsid w:val="00A57B28"/>
    <w:rsid w:val="00A8425C"/>
    <w:rsid w:val="00A9623F"/>
    <w:rsid w:val="00AA0574"/>
    <w:rsid w:val="00AA1F7A"/>
    <w:rsid w:val="00AA32DF"/>
    <w:rsid w:val="00AA66AA"/>
    <w:rsid w:val="00AB3AF0"/>
    <w:rsid w:val="00AB422D"/>
    <w:rsid w:val="00AC0CB7"/>
    <w:rsid w:val="00AC23F0"/>
    <w:rsid w:val="00AC2F95"/>
    <w:rsid w:val="00AC58EA"/>
    <w:rsid w:val="00AD0588"/>
    <w:rsid w:val="00AD17D8"/>
    <w:rsid w:val="00AD7B99"/>
    <w:rsid w:val="00AD7CD0"/>
    <w:rsid w:val="00AE797D"/>
    <w:rsid w:val="00AF1272"/>
    <w:rsid w:val="00AF4EF5"/>
    <w:rsid w:val="00B007C3"/>
    <w:rsid w:val="00B016EB"/>
    <w:rsid w:val="00B03DFD"/>
    <w:rsid w:val="00B05F04"/>
    <w:rsid w:val="00B12404"/>
    <w:rsid w:val="00B2083F"/>
    <w:rsid w:val="00B23F29"/>
    <w:rsid w:val="00B3488E"/>
    <w:rsid w:val="00B375E5"/>
    <w:rsid w:val="00B424EE"/>
    <w:rsid w:val="00B425D6"/>
    <w:rsid w:val="00B51499"/>
    <w:rsid w:val="00B57E58"/>
    <w:rsid w:val="00B66DEF"/>
    <w:rsid w:val="00B6708F"/>
    <w:rsid w:val="00B7107D"/>
    <w:rsid w:val="00B71C23"/>
    <w:rsid w:val="00B73D02"/>
    <w:rsid w:val="00B774C0"/>
    <w:rsid w:val="00B84B38"/>
    <w:rsid w:val="00B90834"/>
    <w:rsid w:val="00B92DCC"/>
    <w:rsid w:val="00B93FC8"/>
    <w:rsid w:val="00BA0645"/>
    <w:rsid w:val="00BA1417"/>
    <w:rsid w:val="00BA3D64"/>
    <w:rsid w:val="00BA4FEB"/>
    <w:rsid w:val="00BA680C"/>
    <w:rsid w:val="00BB3B0B"/>
    <w:rsid w:val="00BB5B75"/>
    <w:rsid w:val="00BC027C"/>
    <w:rsid w:val="00BC2CA6"/>
    <w:rsid w:val="00BC4901"/>
    <w:rsid w:val="00BE07AF"/>
    <w:rsid w:val="00BE5C48"/>
    <w:rsid w:val="00BE7BCA"/>
    <w:rsid w:val="00BF3A60"/>
    <w:rsid w:val="00BF4356"/>
    <w:rsid w:val="00C0102B"/>
    <w:rsid w:val="00C02C37"/>
    <w:rsid w:val="00C05777"/>
    <w:rsid w:val="00C060E3"/>
    <w:rsid w:val="00C07A40"/>
    <w:rsid w:val="00C22E8B"/>
    <w:rsid w:val="00C236CE"/>
    <w:rsid w:val="00C26AE8"/>
    <w:rsid w:val="00C279F6"/>
    <w:rsid w:val="00C313F3"/>
    <w:rsid w:val="00C42382"/>
    <w:rsid w:val="00C434F4"/>
    <w:rsid w:val="00C4501C"/>
    <w:rsid w:val="00C4509A"/>
    <w:rsid w:val="00C54ADB"/>
    <w:rsid w:val="00C57C33"/>
    <w:rsid w:val="00C61615"/>
    <w:rsid w:val="00C644EB"/>
    <w:rsid w:val="00C66E01"/>
    <w:rsid w:val="00C6794B"/>
    <w:rsid w:val="00C774C4"/>
    <w:rsid w:val="00C84BF8"/>
    <w:rsid w:val="00C8621A"/>
    <w:rsid w:val="00C86731"/>
    <w:rsid w:val="00C938AE"/>
    <w:rsid w:val="00C93A99"/>
    <w:rsid w:val="00C942B5"/>
    <w:rsid w:val="00CA18C0"/>
    <w:rsid w:val="00CA67DA"/>
    <w:rsid w:val="00CB1625"/>
    <w:rsid w:val="00CC005D"/>
    <w:rsid w:val="00CC0E1E"/>
    <w:rsid w:val="00CC73A5"/>
    <w:rsid w:val="00CD6F14"/>
    <w:rsid w:val="00CE2D48"/>
    <w:rsid w:val="00CF476B"/>
    <w:rsid w:val="00CF64CA"/>
    <w:rsid w:val="00D06E24"/>
    <w:rsid w:val="00D1164A"/>
    <w:rsid w:val="00D1519A"/>
    <w:rsid w:val="00D20688"/>
    <w:rsid w:val="00D22F92"/>
    <w:rsid w:val="00D23B59"/>
    <w:rsid w:val="00D32B73"/>
    <w:rsid w:val="00D33E3E"/>
    <w:rsid w:val="00D35901"/>
    <w:rsid w:val="00D40CD8"/>
    <w:rsid w:val="00D46EEA"/>
    <w:rsid w:val="00D51C5D"/>
    <w:rsid w:val="00D52214"/>
    <w:rsid w:val="00D52BBF"/>
    <w:rsid w:val="00D5509D"/>
    <w:rsid w:val="00D6066A"/>
    <w:rsid w:val="00D65C44"/>
    <w:rsid w:val="00D719C1"/>
    <w:rsid w:val="00D72F68"/>
    <w:rsid w:val="00D84A5B"/>
    <w:rsid w:val="00D90603"/>
    <w:rsid w:val="00D952E2"/>
    <w:rsid w:val="00DA2CB1"/>
    <w:rsid w:val="00DA6D4E"/>
    <w:rsid w:val="00DB1625"/>
    <w:rsid w:val="00DC06D4"/>
    <w:rsid w:val="00DC0973"/>
    <w:rsid w:val="00DE2E31"/>
    <w:rsid w:val="00DE516C"/>
    <w:rsid w:val="00DE7665"/>
    <w:rsid w:val="00DF2615"/>
    <w:rsid w:val="00DF5EFF"/>
    <w:rsid w:val="00DF7C55"/>
    <w:rsid w:val="00E01C9D"/>
    <w:rsid w:val="00E058CF"/>
    <w:rsid w:val="00E22F32"/>
    <w:rsid w:val="00E30C26"/>
    <w:rsid w:val="00E34DD6"/>
    <w:rsid w:val="00E37AC7"/>
    <w:rsid w:val="00E425F5"/>
    <w:rsid w:val="00E43993"/>
    <w:rsid w:val="00E56EE8"/>
    <w:rsid w:val="00E57851"/>
    <w:rsid w:val="00E67365"/>
    <w:rsid w:val="00E6751F"/>
    <w:rsid w:val="00E67E01"/>
    <w:rsid w:val="00E71F03"/>
    <w:rsid w:val="00E76CD6"/>
    <w:rsid w:val="00E96BC3"/>
    <w:rsid w:val="00EA00AF"/>
    <w:rsid w:val="00EA1198"/>
    <w:rsid w:val="00EA7400"/>
    <w:rsid w:val="00EA762F"/>
    <w:rsid w:val="00EB455B"/>
    <w:rsid w:val="00EB4643"/>
    <w:rsid w:val="00EB5439"/>
    <w:rsid w:val="00EB67C2"/>
    <w:rsid w:val="00EB7985"/>
    <w:rsid w:val="00EC0099"/>
    <w:rsid w:val="00EC25E2"/>
    <w:rsid w:val="00EC4A2E"/>
    <w:rsid w:val="00ED055C"/>
    <w:rsid w:val="00EF3534"/>
    <w:rsid w:val="00EF6B39"/>
    <w:rsid w:val="00F00878"/>
    <w:rsid w:val="00F35814"/>
    <w:rsid w:val="00F35F5F"/>
    <w:rsid w:val="00F37B30"/>
    <w:rsid w:val="00F40C2E"/>
    <w:rsid w:val="00F420E5"/>
    <w:rsid w:val="00F42311"/>
    <w:rsid w:val="00F43E89"/>
    <w:rsid w:val="00F4716E"/>
    <w:rsid w:val="00F478C5"/>
    <w:rsid w:val="00F54711"/>
    <w:rsid w:val="00F553BB"/>
    <w:rsid w:val="00F55B79"/>
    <w:rsid w:val="00F56F7D"/>
    <w:rsid w:val="00F62E89"/>
    <w:rsid w:val="00F6726F"/>
    <w:rsid w:val="00F738C1"/>
    <w:rsid w:val="00F84950"/>
    <w:rsid w:val="00F87D6A"/>
    <w:rsid w:val="00F92C13"/>
    <w:rsid w:val="00F93B0B"/>
    <w:rsid w:val="00F971C0"/>
    <w:rsid w:val="00FA703E"/>
    <w:rsid w:val="00FB03E0"/>
    <w:rsid w:val="00FB1615"/>
    <w:rsid w:val="00FB41DB"/>
    <w:rsid w:val="00FC0E8C"/>
    <w:rsid w:val="00FC2237"/>
    <w:rsid w:val="00FC52CB"/>
    <w:rsid w:val="00FD4DE8"/>
    <w:rsid w:val="00FE395F"/>
    <w:rsid w:val="00FE57F0"/>
    <w:rsid w:val="00FE7839"/>
    <w:rsid w:val="00FF3A02"/>
    <w:rsid w:val="00FF5DD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4B7"/>
    <w:pPr>
      <w:ind w:left="720"/>
      <w:contextualSpacing/>
    </w:pPr>
  </w:style>
  <w:style w:type="paragraph" w:styleId="NoSpacing">
    <w:name w:val="No Spacing"/>
    <w:uiPriority w:val="1"/>
    <w:qFormat/>
    <w:rsid w:val="008A3C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4B7"/>
    <w:pPr>
      <w:ind w:left="720"/>
      <w:contextualSpacing/>
    </w:pPr>
  </w:style>
  <w:style w:type="paragraph" w:styleId="NoSpacing">
    <w:name w:val="No Spacing"/>
    <w:uiPriority w:val="1"/>
    <w:qFormat/>
    <w:rsid w:val="008A3C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Delyth Molyneux</dc:creator>
  <cp:lastModifiedBy>Delyth Molyneux</cp:lastModifiedBy>
  <cp:revision>6</cp:revision>
  <dcterms:created xsi:type="dcterms:W3CDTF">2015-06-07T20:01:00Z</dcterms:created>
  <dcterms:modified xsi:type="dcterms:W3CDTF">2015-06-09T12:00:00Z</dcterms:modified>
</cp:coreProperties>
</file>